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944"/>
      </w:tblGrid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Labeling</w:t>
            </w: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3-602.11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Food Labels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(A)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  <w:szCs w:val="24"/>
              </w:rPr>
              <w:t>packaged</w:t>
            </w:r>
            <w:r w:rsidRPr="004841CB">
              <w:rPr>
                <w:rFonts w:cs="Arial"/>
              </w:rPr>
              <w:t xml:space="preserve"> in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establishment,</w:t>
            </w:r>
            <w:r w:rsidRPr="004841CB">
              <w:rPr>
                <w:rFonts w:cs="Arial"/>
              </w:rPr>
              <w:t xml:space="preserve"> shall be labeled as specified in </w:t>
            </w:r>
            <w:r w:rsidRPr="004841CB">
              <w:rPr>
                <w:rFonts w:cs="Arial"/>
                <w:smallCaps/>
              </w:rPr>
              <w:t>law</w:t>
            </w:r>
            <w:r w:rsidRPr="004841CB">
              <w:rPr>
                <w:rFonts w:cs="Arial"/>
              </w:rPr>
              <w:t xml:space="preserve">, including 21 CFR 101 - Food labeling, and 9 CFR 317 Labeling, marking devices, and containers.  </w:t>
            </w: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pStyle w:val="Header"/>
              <w:tabs>
                <w:tab w:val="clear" w:pos="4320"/>
                <w:tab w:val="clear" w:pos="8640"/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pStyle w:val="Header"/>
              <w:tabs>
                <w:tab w:val="clear" w:pos="4320"/>
                <w:tab w:val="clear" w:pos="8640"/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>(B) Label information shall include:</w:t>
            </w: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(1) The common name of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>, or absent a common name, an adequately descriptive identity statement;</w:t>
            </w: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(2) If made from two or more ingredients, a list of ingredients in descending order of predominance by weight, including a declaration of artificial color or flavor and chemical preservatives, if contained in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; </w:t>
            </w: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>(3) An accurate declaration of the quantity of contents;</w:t>
            </w: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pStyle w:val="BodyTextIndent3"/>
              <w:tabs>
                <w:tab w:val="left" w:pos="-792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pStyle w:val="BodyTextIndent3"/>
              <w:tabs>
                <w:tab w:val="left" w:pos="-792"/>
                <w:tab w:val="left" w:pos="382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89" w:hanging="389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>(4) The name and place of business of the manufacturer, packer, or distributor; and</w:t>
            </w: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(5) The name of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</w:rPr>
              <w:t xml:space="preserve"> source for each </w:t>
            </w:r>
            <w:r w:rsidRPr="004841CB">
              <w:rPr>
                <w:rFonts w:cs="Arial"/>
                <w:smallCaps/>
                <w:szCs w:val="24"/>
              </w:rPr>
              <w:t>major food allergen</w:t>
            </w:r>
            <w:r w:rsidRPr="004841CB">
              <w:rPr>
                <w:rFonts w:cs="Arial"/>
              </w:rPr>
              <w:t xml:space="preserve"> contained in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</w:rPr>
              <w:t xml:space="preserve"> unless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</w:rPr>
              <w:t xml:space="preserve"> source is already part of the common or usual name of the respective ingredient (Effective January 1, 2006).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pStyle w:val="BodyTextIndent3"/>
              <w:tabs>
                <w:tab w:val="left" w:pos="-792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pStyle w:val="BodyTextIndent3"/>
              <w:tabs>
                <w:tab w:val="left" w:pos="-792"/>
                <w:tab w:val="left" w:pos="374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(6) Except as exempted in the Federal Food, Drug, and Cosmetic Act § 403(Q)(3) - (5), nutrition labeling as specified in 21 CFR 101 - Food Labeling and 9 CFR 317 Subpart B Nutrition Labeling.  </w:t>
            </w: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pStyle w:val="BodyTextIndent3"/>
              <w:tabs>
                <w:tab w:val="left" w:pos="-792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pStyle w:val="BodyTextIndent3"/>
              <w:tabs>
                <w:tab w:val="left" w:pos="-792"/>
                <w:tab w:val="left" w:pos="382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89" w:hanging="389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(7) For any </w:t>
            </w:r>
            <w:proofErr w:type="spellStart"/>
            <w:r w:rsidRPr="004841CB">
              <w:rPr>
                <w:rFonts w:cs="Arial"/>
              </w:rPr>
              <w:t>salmonid</w:t>
            </w:r>
            <w:proofErr w:type="spellEnd"/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 xml:space="preserve"> containing </w:t>
            </w:r>
            <w:proofErr w:type="spellStart"/>
            <w:r w:rsidRPr="004841CB">
              <w:rPr>
                <w:rFonts w:cs="Arial"/>
              </w:rPr>
              <w:t>canthaxanthin</w:t>
            </w:r>
            <w:proofErr w:type="spellEnd"/>
            <w:r w:rsidRPr="004841CB">
              <w:rPr>
                <w:rFonts w:cs="Arial"/>
              </w:rPr>
              <w:t xml:space="preserve"> as a </w:t>
            </w:r>
            <w:r w:rsidRPr="004841CB">
              <w:rPr>
                <w:rFonts w:cs="Arial"/>
                <w:smallCaps/>
              </w:rPr>
              <w:t>color additive</w:t>
            </w:r>
            <w:r w:rsidRPr="004841CB">
              <w:rPr>
                <w:rFonts w:cs="Arial"/>
              </w:rPr>
              <w:t xml:space="preserve">, the labeling of the bulk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 xml:space="preserve"> container, including a list of ingredients, displayed on the retail container or by other written means, such as a counter card, that discloses the use of </w:t>
            </w:r>
            <w:proofErr w:type="spellStart"/>
            <w:r w:rsidRPr="004841CB">
              <w:rPr>
                <w:rFonts w:cs="Arial"/>
              </w:rPr>
              <w:t>canthaxanthin</w:t>
            </w:r>
            <w:proofErr w:type="spellEnd"/>
            <w:r w:rsidRPr="004841CB">
              <w:rPr>
                <w:rFonts w:cs="Arial"/>
              </w:rPr>
              <w:t xml:space="preserve">.  </w:t>
            </w:r>
          </w:p>
        </w:tc>
      </w:tr>
      <w:tr w:rsidR="004E01F9" w:rsidRPr="004841CB" w:rsidTr="005F48DC"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pStyle w:val="BodyTextIndent3"/>
              <w:tabs>
                <w:tab w:val="left" w:pos="-792"/>
                <w:tab w:val="left" w:pos="382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89" w:hanging="389"/>
              <w:rPr>
                <w:rFonts w:cs="Arial"/>
              </w:rPr>
            </w:pPr>
          </w:p>
        </w:tc>
      </w:tr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(C) Bulk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that is available for </w:t>
            </w:r>
            <w:r w:rsidRPr="004841CB">
              <w:rPr>
                <w:rFonts w:cs="Arial"/>
                <w:smallCaps/>
              </w:rPr>
              <w:t>consumer</w:t>
            </w:r>
            <w:r w:rsidRPr="004841CB">
              <w:rPr>
                <w:rFonts w:cs="Arial"/>
              </w:rPr>
              <w:t xml:space="preserve"> self-dispensing shall be prominently labeled with the following information in plain view of the </w:t>
            </w:r>
            <w:r w:rsidRPr="004841CB">
              <w:rPr>
                <w:rFonts w:cs="Arial"/>
                <w:smallCaps/>
              </w:rPr>
              <w:t>consumer</w:t>
            </w:r>
            <w:r w:rsidRPr="004841CB">
              <w:rPr>
                <w:rFonts w:cs="Arial"/>
              </w:rPr>
              <w:t xml:space="preserve">:  </w:t>
            </w:r>
          </w:p>
        </w:tc>
      </w:tr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(1) The manufacturer's or processor's label that was provided with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>; or</w:t>
            </w:r>
          </w:p>
        </w:tc>
      </w:tr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pStyle w:val="BodyTextIndent3"/>
              <w:tabs>
                <w:tab w:val="left" w:pos="-792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pStyle w:val="BodyTextIndent3"/>
              <w:tabs>
                <w:tab w:val="left" w:pos="-792"/>
                <w:tab w:val="left" w:pos="382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89" w:hanging="389"/>
              <w:rPr>
                <w:rFonts w:cs="Arial"/>
              </w:rPr>
            </w:pPr>
            <w:r w:rsidRPr="004841CB">
              <w:rPr>
                <w:rFonts w:cs="Arial"/>
              </w:rPr>
              <w:tab/>
              <w:t>(2) A card, sign, or other method of notification that includes the information specified under Subparagraphs (B</w:t>
            </w:r>
            <w:proofErr w:type="gramStart"/>
            <w:r w:rsidRPr="004841CB">
              <w:rPr>
                <w:rFonts w:cs="Arial"/>
              </w:rPr>
              <w:t>)(</w:t>
            </w:r>
            <w:proofErr w:type="gramEnd"/>
            <w:r w:rsidRPr="004841CB">
              <w:rPr>
                <w:rFonts w:cs="Arial"/>
              </w:rPr>
              <w:t xml:space="preserve">1), (2), and (5) of this section.  </w:t>
            </w:r>
          </w:p>
        </w:tc>
      </w:tr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pStyle w:val="Header"/>
              <w:tabs>
                <w:tab w:val="clear" w:pos="4320"/>
                <w:tab w:val="clear" w:pos="8640"/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</w:rPr>
            </w:pPr>
            <w:r w:rsidRPr="004841CB">
              <w:rPr>
                <w:rFonts w:cs="Arial"/>
              </w:rPr>
              <w:t xml:space="preserve">(D) </w:t>
            </w:r>
            <w:r w:rsidRPr="004841CB">
              <w:rPr>
                <w:rFonts w:cs="Arial"/>
                <w:i/>
              </w:rPr>
              <w:t>Bulk, un</w:t>
            </w:r>
            <w:r w:rsidRPr="004841CB">
              <w:rPr>
                <w:rFonts w:cs="Arial"/>
                <w:i/>
                <w:smallCaps/>
                <w:szCs w:val="24"/>
              </w:rPr>
              <w:t>packaged</w:t>
            </w:r>
            <w:r w:rsidRPr="004841CB">
              <w:rPr>
                <w:rFonts w:cs="Arial"/>
                <w:i/>
              </w:rPr>
              <w:t xml:space="preserve"> </w:t>
            </w:r>
            <w:r w:rsidRPr="004841CB">
              <w:rPr>
                <w:rFonts w:cs="Arial"/>
                <w:i/>
                <w:smallCaps/>
              </w:rPr>
              <w:t>foods</w:t>
            </w:r>
            <w:r w:rsidRPr="004841CB">
              <w:rPr>
                <w:rFonts w:cs="Arial"/>
                <w:i/>
              </w:rPr>
              <w:t xml:space="preserve"> such as bakery products and un</w:t>
            </w:r>
            <w:r w:rsidRPr="004841CB">
              <w:rPr>
                <w:rFonts w:cs="Arial"/>
                <w:i/>
                <w:smallCaps/>
                <w:szCs w:val="24"/>
              </w:rPr>
              <w:t>packaged</w:t>
            </w:r>
            <w:r w:rsidRPr="004841CB">
              <w:rPr>
                <w:rFonts w:cs="Arial"/>
                <w:i/>
                <w:smallCaps/>
              </w:rPr>
              <w:t xml:space="preserve"> foods</w:t>
            </w:r>
            <w:r w:rsidRPr="004841CB">
              <w:rPr>
                <w:rFonts w:cs="Arial"/>
                <w:i/>
              </w:rPr>
              <w:t xml:space="preserve"> that are portioned to </w:t>
            </w:r>
            <w:r w:rsidRPr="004841CB">
              <w:rPr>
                <w:rFonts w:cs="Arial"/>
                <w:i/>
                <w:smallCaps/>
              </w:rPr>
              <w:t>consumer</w:t>
            </w:r>
            <w:r w:rsidRPr="004841CB">
              <w:rPr>
                <w:rFonts w:cs="Arial"/>
                <w:i/>
              </w:rPr>
              <w:t xml:space="preserve"> specification need not be labeled if:  </w:t>
            </w:r>
          </w:p>
        </w:tc>
      </w:tr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</w:p>
        </w:tc>
      </w:tr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(1) </w:t>
            </w:r>
            <w:r w:rsidRPr="004841CB">
              <w:rPr>
                <w:rFonts w:cs="Arial"/>
                <w:i/>
              </w:rPr>
              <w:t>A health, nutrient content, or other claim is not made;</w:t>
            </w:r>
          </w:p>
        </w:tc>
      </w:tr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</w:p>
        </w:tc>
      </w:tr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</w:t>
            </w:r>
            <w:r w:rsidRPr="004841CB">
              <w:rPr>
                <w:rFonts w:cs="Arial"/>
                <w:i/>
              </w:rPr>
              <w:t xml:space="preserve">There are no state or local </w:t>
            </w:r>
            <w:r w:rsidRPr="004841CB">
              <w:rPr>
                <w:rFonts w:cs="Arial"/>
                <w:i/>
                <w:smallCaps/>
              </w:rPr>
              <w:t>laws</w:t>
            </w:r>
            <w:r w:rsidRPr="004841CB">
              <w:rPr>
                <w:rFonts w:cs="Arial"/>
                <w:i/>
              </w:rPr>
              <w:t xml:space="preserve"> requiring labeling; and</w:t>
            </w:r>
          </w:p>
        </w:tc>
      </w:tr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4E01F9" w:rsidRPr="004841CB" w:rsidTr="005F48DC">
        <w:trPr>
          <w:cantSplit/>
        </w:trPr>
        <w:tc>
          <w:tcPr>
            <w:tcW w:w="1958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E01F9" w:rsidRPr="004841CB" w:rsidRDefault="004E01F9" w:rsidP="005F48DC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E01F9" w:rsidRPr="004841CB" w:rsidRDefault="004E01F9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(3) </w:t>
            </w:r>
            <w:r w:rsidRPr="004841CB">
              <w:rPr>
                <w:rFonts w:cs="Arial"/>
                <w:i/>
              </w:rPr>
              <w:t xml:space="preserve">The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is manufactured or prepared on the </w:t>
            </w:r>
            <w:r w:rsidRPr="004841CB">
              <w:rPr>
                <w:rFonts w:cs="Arial"/>
                <w:i/>
                <w:smallCaps/>
              </w:rPr>
              <w:t>premises</w:t>
            </w:r>
            <w:r w:rsidRPr="004841CB">
              <w:rPr>
                <w:rFonts w:cs="Arial"/>
                <w:i/>
              </w:rPr>
              <w:t xml:space="preserve"> of the </w:t>
            </w:r>
            <w:r w:rsidRPr="004841CB">
              <w:rPr>
                <w:rFonts w:cs="Arial"/>
                <w:i/>
                <w:smallCaps/>
              </w:rPr>
              <w:t>food establishment</w:t>
            </w:r>
            <w:r w:rsidRPr="004841CB">
              <w:rPr>
                <w:rFonts w:cs="Arial"/>
                <w:i/>
              </w:rPr>
              <w:t xml:space="preserve"> or at another </w:t>
            </w:r>
            <w:r w:rsidRPr="004841CB">
              <w:rPr>
                <w:rFonts w:cs="Arial"/>
                <w:i/>
                <w:smallCaps/>
              </w:rPr>
              <w:t>food establishment</w:t>
            </w:r>
            <w:r w:rsidRPr="004841CB">
              <w:rPr>
                <w:rFonts w:cs="Arial"/>
                <w:i/>
              </w:rPr>
              <w:t xml:space="preserve"> or a </w:t>
            </w:r>
            <w:r w:rsidRPr="004841CB">
              <w:rPr>
                <w:rFonts w:cs="Arial"/>
                <w:i/>
                <w:smallCaps/>
              </w:rPr>
              <w:t>food processing plant</w:t>
            </w:r>
            <w:r w:rsidRPr="004841CB">
              <w:rPr>
                <w:rFonts w:cs="Arial"/>
                <w:i/>
              </w:rPr>
              <w:t xml:space="preserve"> that is owned by the same </w:t>
            </w:r>
            <w:r w:rsidRPr="004841CB">
              <w:rPr>
                <w:rFonts w:cs="Arial"/>
                <w:i/>
                <w:smallCaps/>
              </w:rPr>
              <w:t>person</w:t>
            </w:r>
            <w:r w:rsidRPr="004841CB">
              <w:rPr>
                <w:rFonts w:cs="Arial"/>
                <w:i/>
              </w:rPr>
              <w:t xml:space="preserve"> and is regulated by the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regulatory agency that has jurisdiction. 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1F9"/>
    <w:rsid w:val="004E01F9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1F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4E01F9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4E01F9"/>
    <w:rPr>
      <w:rFonts w:ascii="Arial" w:eastAsia="Times New Roman" w:hAnsi="Arial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rsid w:val="004E01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01F9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1F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4E01F9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4E01F9"/>
    <w:rPr>
      <w:rFonts w:ascii="Arial" w:eastAsia="Times New Roman" w:hAnsi="Arial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rsid w:val="004E01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01F9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2012-09-07T19:55:00Z</dcterms:created>
  <dcterms:modified xsi:type="dcterms:W3CDTF">2012-09-07T20:00:00Z</dcterms:modified>
</cp:coreProperties>
</file>