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6B5EC7" w:rsidRPr="004841CB" w:rsidTr="008A647F">
        <w:tc>
          <w:tcPr>
            <w:tcW w:w="2070" w:type="dxa"/>
          </w:tcPr>
          <w:p w:rsidR="006B5EC7" w:rsidRPr="004841CB" w:rsidRDefault="006B5EC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Chemicals</w:t>
            </w:r>
          </w:p>
        </w:tc>
        <w:tc>
          <w:tcPr>
            <w:tcW w:w="608" w:type="dxa"/>
          </w:tcPr>
          <w:p w:rsidR="006B5EC7" w:rsidRPr="004841CB" w:rsidRDefault="006B5EC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944" w:type="dxa"/>
          </w:tcPr>
          <w:p w:rsidR="006B5EC7" w:rsidRPr="004841CB" w:rsidRDefault="006B5EC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7-204.11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Sanitizers, Criteria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6B5EC7" w:rsidRPr="004841CB" w:rsidRDefault="006B5EC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6B5EC7" w:rsidRPr="004841CB" w:rsidRDefault="006B5EC7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Chemical </w:t>
            </w:r>
            <w:r w:rsidRPr="004841CB">
              <w:rPr>
                <w:smallCaps/>
              </w:rPr>
              <w:t>sanitizers</w:t>
            </w:r>
            <w:r w:rsidRPr="004841CB">
              <w:t xml:space="preserve"> and other chemical antimicrobials applied to </w:t>
            </w:r>
            <w:r w:rsidRPr="004841CB">
              <w:rPr>
                <w:smallCaps/>
              </w:rPr>
              <w:t>food-contact surface</w:t>
            </w:r>
            <w:r w:rsidRPr="004841CB">
              <w:t xml:space="preserve">s shall meet the requirements specified in 40 CFR 180.940 Tolerance exemptions for active and inert ingredients for use in antimicrobial formulations (food-contact surface </w:t>
            </w:r>
            <w:r w:rsidRPr="004841CB">
              <w:rPr>
                <w:szCs w:val="24"/>
              </w:rPr>
              <w:t>sanitizing</w:t>
            </w:r>
            <w:r w:rsidRPr="004841CB">
              <w:t xml:space="preserve"> solutions).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C7"/>
    <w:rsid w:val="006B5EC7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EC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EC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2012-09-06T20:21:00Z</dcterms:created>
  <dcterms:modified xsi:type="dcterms:W3CDTF">2012-09-06T20:22:00Z</dcterms:modified>
</cp:coreProperties>
</file>