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Layout w:type="fixed"/>
        <w:tblLook w:val="0000" w:firstRow="0" w:lastRow="0" w:firstColumn="0" w:lastColumn="0" w:noHBand="0" w:noVBand="0"/>
      </w:tblPr>
      <w:tblGrid>
        <w:gridCol w:w="2070"/>
        <w:gridCol w:w="630"/>
        <w:gridCol w:w="7020"/>
      </w:tblGrid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  <w:b/>
                <w:i/>
              </w:rPr>
              <w:t>Sources</w:t>
            </w: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3-201.11</w:t>
            </w:r>
            <w:r w:rsidRPr="004841CB">
              <w:rPr>
                <w:rFonts w:cs="Arial"/>
                <w:b/>
              </w:rPr>
              <w:tab/>
              <w:t>Compliance with Food Law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40CDC">
            <w:pPr>
              <w:keepNext/>
              <w:keepLines/>
              <w:numPr>
                <w:ilvl w:val="0"/>
                <w:numId w:val="1"/>
              </w:numPr>
              <w:tabs>
                <w:tab w:val="clear" w:pos="735"/>
                <w:tab w:val="num" w:pos="0"/>
              </w:tabs>
              <w:ind w:left="0" w:hanging="720"/>
              <w:rPr>
                <w:rFonts w:cs="Arial"/>
                <w:smallCaps/>
                <w:u w:val="single"/>
              </w:rPr>
            </w:pPr>
            <w:r w:rsidRPr="004841CB">
              <w:rPr>
                <w:rFonts w:cs="Arial"/>
                <w:smallCaps/>
              </w:rPr>
              <w:t>(A) Food</w:t>
            </w:r>
            <w:r w:rsidRPr="004841CB">
              <w:rPr>
                <w:rFonts w:cs="Arial"/>
              </w:rPr>
              <w:t xml:space="preserve"> shall be obtained from sources that comply with </w:t>
            </w:r>
            <w:proofErr w:type="spellStart"/>
            <w:r w:rsidRPr="004841CB">
              <w:rPr>
                <w:rFonts w:cs="Arial"/>
                <w:smallCaps/>
              </w:rPr>
              <w:t>law.</w:t>
            </w:r>
            <w:r w:rsidRPr="004841CB">
              <w:rPr>
                <w:rFonts w:cs="Arial"/>
                <w:vertAlign w:val="superscript"/>
              </w:rPr>
              <w:t>P</w:t>
            </w:r>
            <w:proofErr w:type="spellEnd"/>
            <w:r w:rsidRPr="004841CB">
              <w:rPr>
                <w:rFonts w:cs="Arial"/>
                <w:smallCaps/>
              </w:rPr>
              <w:t xml:space="preserve"> </w:t>
            </w:r>
            <w:r w:rsidRPr="004841CB">
              <w:rPr>
                <w:rFonts w:cs="Arial"/>
                <w:u w:val="single"/>
              </w:rPr>
              <w:t>Food from</w:t>
            </w:r>
            <w:r w:rsidRPr="004841CB">
              <w:rPr>
                <w:rFonts w:cs="Arial"/>
                <w:smallCaps/>
                <w:u w:val="single"/>
              </w:rPr>
              <w:t xml:space="preserve"> food establishments</w:t>
            </w:r>
            <w:r w:rsidRPr="004841CB">
              <w:rPr>
                <w:rFonts w:cs="Arial"/>
                <w:u w:val="single"/>
              </w:rPr>
              <w:t xml:space="preserve"> in states adjacent to North Carolina may be sold within North Carolina if the </w:t>
            </w:r>
            <w:r w:rsidRPr="004841CB">
              <w:rPr>
                <w:rFonts w:cs="Arial"/>
                <w:smallCaps/>
                <w:u w:val="single"/>
              </w:rPr>
              <w:t xml:space="preserve">food establishments </w:t>
            </w:r>
            <w:r w:rsidRPr="004841CB">
              <w:rPr>
                <w:rFonts w:cs="Arial"/>
                <w:u w:val="single"/>
              </w:rPr>
              <w:t xml:space="preserve"> are under jurisdiction of the local or state enforcement body</w:t>
            </w:r>
            <w:r w:rsidRPr="004841CB">
              <w:rPr>
                <w:rFonts w:cs="Arial"/>
                <w:smallCaps/>
                <w:u w:val="single"/>
              </w:rPr>
              <w:t xml:space="preserve"> </w:t>
            </w:r>
            <w:r w:rsidRPr="004841CB">
              <w:rPr>
                <w:rFonts w:cs="Arial"/>
                <w:u w:val="single"/>
              </w:rPr>
              <w:t xml:space="preserve">in that state and approved by the </w:t>
            </w:r>
            <w:r w:rsidRPr="004841CB">
              <w:rPr>
                <w:rFonts w:cs="Arial"/>
                <w:smallCaps/>
                <w:u w:val="single"/>
              </w:rPr>
              <w:t xml:space="preserve">regulatory authority </w:t>
            </w:r>
            <w:r w:rsidRPr="004841CB">
              <w:rPr>
                <w:rFonts w:cs="Arial"/>
                <w:u w:val="single"/>
              </w:rPr>
              <w:t xml:space="preserve">in North Carolina. To determine the extent of compliance with this Code, the </w:t>
            </w:r>
            <w:r w:rsidRPr="004841CB">
              <w:rPr>
                <w:rFonts w:cs="Arial"/>
                <w:smallCaps/>
                <w:u w:val="single"/>
              </w:rPr>
              <w:t>regulatory authority</w:t>
            </w:r>
            <w:r w:rsidRPr="004841CB">
              <w:rPr>
                <w:rFonts w:cs="Arial"/>
                <w:u w:val="single"/>
              </w:rPr>
              <w:t xml:space="preserve"> shall obtain reports regarding compliance and compliance history from responsible authorities in other jurisdictions where the </w:t>
            </w:r>
            <w:r w:rsidRPr="004841CB">
              <w:rPr>
                <w:rFonts w:cs="Arial"/>
                <w:smallCaps/>
                <w:u w:val="single"/>
              </w:rPr>
              <w:t>food establishments</w:t>
            </w:r>
            <w:r w:rsidRPr="004841CB">
              <w:rPr>
                <w:rFonts w:cs="Arial"/>
                <w:u w:val="single"/>
              </w:rPr>
              <w:t xml:space="preserve"> are located.</w:t>
            </w: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(B)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prepared in a private home may not be used or offered for human consumption in a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establishment</w:t>
            </w:r>
            <w:r w:rsidRPr="004841CB">
              <w:rPr>
                <w:rFonts w:cs="Arial"/>
              </w:rPr>
              <w:t>.</w:t>
            </w:r>
            <w:r w:rsidRPr="004841CB">
              <w:rPr>
                <w:rFonts w:cs="Arial"/>
                <w:vertAlign w:val="superscript"/>
              </w:rPr>
              <w:t xml:space="preserve"> P</w:t>
            </w: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(C) </w:t>
            </w:r>
            <w:r w:rsidRPr="004841CB">
              <w:rPr>
                <w:rFonts w:cs="Arial"/>
                <w:smallCaps/>
                <w:szCs w:val="24"/>
              </w:rPr>
              <w:t>Package</w:t>
            </w:r>
            <w:r w:rsidRPr="004841CB">
              <w:rPr>
                <w:rFonts w:cs="Arial"/>
                <w:smallCaps/>
              </w:rPr>
              <w:t>d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shall be labeled as specified in </w:t>
            </w:r>
            <w:r w:rsidRPr="004841CB">
              <w:rPr>
                <w:rFonts w:cs="Arial"/>
                <w:smallCaps/>
              </w:rPr>
              <w:t>law</w:t>
            </w:r>
            <w:r w:rsidRPr="004841CB">
              <w:rPr>
                <w:rFonts w:cs="Arial"/>
              </w:rPr>
              <w:t xml:space="preserve">, including 21 CFR 101 </w:t>
            </w: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Labeling, 9 CFR 317 Labeling, Marking Devices, and Containers, and 9 CFR 381 Subpart N Labeling and Containers, and as specified under §§ 3</w:t>
            </w:r>
            <w:r w:rsidRPr="004841CB">
              <w:rPr>
                <w:rFonts w:cs="Arial"/>
              </w:rPr>
              <w:noBreakHyphen/>
              <w:t>202.17 and 3</w:t>
            </w:r>
            <w:r w:rsidRPr="004841CB">
              <w:rPr>
                <w:rFonts w:cs="Arial"/>
              </w:rPr>
              <w:noBreakHyphen/>
              <w:t>202.18.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rPr>
                <w:rFonts w:cs="Arial"/>
              </w:rPr>
            </w:pPr>
            <w:r w:rsidRPr="004841CB">
              <w:rPr>
                <w:rFonts w:cs="Arial"/>
              </w:rPr>
              <w:t xml:space="preserve">(D) </w:t>
            </w:r>
            <w:r w:rsidRPr="004841CB">
              <w:rPr>
                <w:rFonts w:cs="Arial"/>
                <w:smallCaps/>
              </w:rPr>
              <w:t>fish,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i/>
              </w:rPr>
              <w:t>other than those</w:t>
            </w:r>
            <w:r w:rsidRPr="004841CB">
              <w:rPr>
                <w:rFonts w:cs="Arial"/>
              </w:rPr>
              <w:t xml:space="preserve"> </w:t>
            </w:r>
            <w:r w:rsidRPr="004841CB">
              <w:rPr>
                <w:rFonts w:cs="Arial"/>
                <w:i/>
              </w:rPr>
              <w:t>specified in paragraph</w:t>
            </w:r>
            <w:r w:rsidRPr="004841CB">
              <w:rPr>
                <w:rFonts w:cs="Arial"/>
                <w:i/>
                <w:smallCaps/>
              </w:rPr>
              <w:t xml:space="preserve"> 3-402.11(B),</w:t>
            </w:r>
            <w:r w:rsidRPr="004841CB">
              <w:rPr>
                <w:rFonts w:cs="Arial"/>
                <w:i/>
              </w:rPr>
              <w:t xml:space="preserve"> that are intended for consumption in raw or undercooked form and allowed as specified in Subparagraph 3</w:t>
            </w:r>
            <w:r w:rsidRPr="004841CB">
              <w:rPr>
                <w:rFonts w:cs="Arial"/>
                <w:i/>
              </w:rPr>
              <w:noBreakHyphen/>
            </w:r>
            <w:proofErr w:type="gramStart"/>
            <w:r w:rsidRPr="004841CB">
              <w:rPr>
                <w:rFonts w:cs="Arial"/>
                <w:i/>
              </w:rPr>
              <w:t>401.11(</w:t>
            </w:r>
            <w:proofErr w:type="gramEnd"/>
            <w:r w:rsidRPr="004841CB">
              <w:rPr>
                <w:rFonts w:cs="Arial"/>
                <w:i/>
              </w:rPr>
              <w:t xml:space="preserve">D), may be offered for sale or service if they are obtained from a supplier that freezes the </w:t>
            </w:r>
            <w:r w:rsidRPr="004841CB">
              <w:rPr>
                <w:rFonts w:cs="Arial"/>
                <w:i/>
                <w:smallCaps/>
              </w:rPr>
              <w:t>fish</w:t>
            </w:r>
            <w:r w:rsidRPr="004841CB">
              <w:rPr>
                <w:rFonts w:cs="Arial"/>
                <w:i/>
              </w:rPr>
              <w:t xml:space="preserve"> as specified under § 3</w:t>
            </w:r>
            <w:r w:rsidRPr="004841CB">
              <w:rPr>
                <w:rFonts w:cs="Arial"/>
                <w:i/>
              </w:rPr>
              <w:noBreakHyphen/>
              <w:t xml:space="preserve">402.11; or if they are frozen on the </w:t>
            </w:r>
            <w:r w:rsidRPr="004841CB">
              <w:rPr>
                <w:rFonts w:cs="Arial"/>
                <w:i/>
                <w:smallCaps/>
              </w:rPr>
              <w:t>premises</w:t>
            </w:r>
            <w:r w:rsidRPr="004841CB">
              <w:rPr>
                <w:rFonts w:cs="Arial"/>
                <w:i/>
              </w:rPr>
              <w:t xml:space="preserve"> as specified under § 3</w:t>
            </w:r>
            <w:r w:rsidRPr="004841CB">
              <w:rPr>
                <w:rFonts w:cs="Arial"/>
                <w:i/>
              </w:rPr>
              <w:noBreakHyphen/>
              <w:t>402.11 and records are retained as specified under § 3</w:t>
            </w:r>
            <w:r w:rsidRPr="004841CB">
              <w:rPr>
                <w:rFonts w:cs="Arial"/>
                <w:i/>
              </w:rPr>
              <w:noBreakHyphen/>
              <w:t xml:space="preserve">402.12. </w:t>
            </w: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(E) </w:t>
            </w:r>
            <w:r w:rsidRPr="004841CB">
              <w:rPr>
                <w:rFonts w:cs="Arial"/>
                <w:smallCaps/>
              </w:rPr>
              <w:t>Whole-muscle, intact beef</w:t>
            </w:r>
            <w:r w:rsidRPr="004841CB">
              <w:rPr>
                <w:rFonts w:cs="Arial"/>
              </w:rPr>
              <w:t xml:space="preserve"> steaks that are intended for consumption in an undercooked form without a </w:t>
            </w:r>
            <w:r w:rsidRPr="004841CB">
              <w:rPr>
                <w:rFonts w:cs="Arial"/>
                <w:smallCaps/>
              </w:rPr>
              <w:t>consumer</w:t>
            </w:r>
            <w:r w:rsidRPr="004841CB">
              <w:rPr>
                <w:rFonts w:cs="Arial"/>
              </w:rPr>
              <w:t xml:space="preserve"> advisory as specified in ¶ 3-401.11(C) shall be:</w:t>
            </w: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tabs>
                <w:tab w:val="left" w:pos="432"/>
              </w:tabs>
              <w:ind w:left="432" w:hanging="432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(1) Obtained from a </w:t>
            </w:r>
            <w:r w:rsidRPr="004841CB">
              <w:rPr>
                <w:rFonts w:cs="Arial"/>
                <w:smallCaps/>
              </w:rPr>
              <w:t>food processing plant</w:t>
            </w:r>
            <w:r w:rsidRPr="004841CB">
              <w:rPr>
                <w:rFonts w:cs="Arial"/>
              </w:rPr>
              <w:t xml:space="preserve"> that, upon request by the purchaser, </w:t>
            </w:r>
            <w:r w:rsidRPr="004841CB">
              <w:rPr>
                <w:rFonts w:cs="Arial"/>
                <w:szCs w:val="24"/>
              </w:rPr>
              <w:t>packages</w:t>
            </w:r>
            <w:r w:rsidRPr="004841CB">
              <w:rPr>
                <w:rFonts w:cs="Arial"/>
              </w:rPr>
              <w:t xml:space="preserve"> the steaks and labels them, to indicate that the steaks meet the definition of </w:t>
            </w:r>
            <w:r w:rsidRPr="004841CB">
              <w:rPr>
                <w:rFonts w:cs="Arial"/>
                <w:smallCaps/>
              </w:rPr>
              <w:t>whole-muscle, intact beef</w:t>
            </w:r>
            <w:r w:rsidRPr="004841CB">
              <w:rPr>
                <w:rFonts w:cs="Arial"/>
              </w:rPr>
              <w:t>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or</w:t>
            </w: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tabs>
                <w:tab w:val="left" w:pos="432"/>
              </w:tabs>
              <w:ind w:left="432" w:hanging="432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(2) Deemed acceptable by the </w:t>
            </w:r>
            <w:r w:rsidRPr="004841CB">
              <w:rPr>
                <w:rFonts w:cs="Arial"/>
                <w:smallCaps/>
              </w:rPr>
              <w:t>regulatory authority</w:t>
            </w:r>
            <w:r w:rsidRPr="004841CB">
              <w:rPr>
                <w:rFonts w:cs="Arial"/>
              </w:rPr>
              <w:t xml:space="preserve"> based on other evidence, such as written buyer specifications or invoices, that indicates that the steaks meet the definition of </w:t>
            </w:r>
            <w:r w:rsidRPr="004841CB">
              <w:rPr>
                <w:rFonts w:cs="Arial"/>
                <w:smallCaps/>
              </w:rPr>
              <w:t>whole-muscle, intact beef</w:t>
            </w:r>
            <w:r w:rsidRPr="004841CB">
              <w:rPr>
                <w:rFonts w:cs="Arial"/>
              </w:rPr>
              <w:t>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widowControl/>
              <w:tabs>
                <w:tab w:val="left" w:pos="432"/>
              </w:tabs>
              <w:ind w:left="720" w:hanging="720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(3) If individually cut in a </w:t>
            </w:r>
            <w:r w:rsidRPr="004841CB">
              <w:rPr>
                <w:rFonts w:cs="Arial"/>
                <w:smallCaps/>
              </w:rPr>
              <w:t>food establishment</w:t>
            </w:r>
            <w:r w:rsidRPr="004841CB">
              <w:rPr>
                <w:rFonts w:cs="Arial"/>
              </w:rPr>
              <w:t xml:space="preserve">:  </w:t>
            </w: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widowControl/>
              <w:ind w:left="720" w:hanging="720"/>
              <w:rPr>
                <w:rFonts w:cs="Arial"/>
              </w:rPr>
            </w:pPr>
          </w:p>
        </w:tc>
      </w:tr>
      <w:tr w:rsidR="00F40CDC" w:rsidRPr="004841CB" w:rsidTr="00F62DA8">
        <w:tc>
          <w:tcPr>
            <w:tcW w:w="207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widowControl/>
              <w:ind w:left="720" w:hanging="720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(a) Cut from </w:t>
            </w:r>
            <w:r w:rsidRPr="004841CB">
              <w:rPr>
                <w:rFonts w:cs="Arial"/>
                <w:smallCaps/>
              </w:rPr>
              <w:t>whole-muscle intact beef</w:t>
            </w:r>
            <w:r w:rsidRPr="004841CB">
              <w:rPr>
                <w:rFonts w:cs="Arial"/>
              </w:rPr>
              <w:t xml:space="preserve"> that is labeled by a </w:t>
            </w:r>
            <w:r w:rsidRPr="004841CB">
              <w:rPr>
                <w:rFonts w:cs="Arial"/>
                <w:smallCaps/>
              </w:rPr>
              <w:t>food processing plant</w:t>
            </w:r>
            <w:r w:rsidRPr="004841CB">
              <w:rPr>
                <w:rFonts w:cs="Arial"/>
              </w:rPr>
              <w:t xml:space="preserve"> as specified in Subparagraph (E)(1) of this section or identified as specified in Subparagraph (E)(2) of this section,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</w:p>
        </w:tc>
      </w:tr>
    </w:tbl>
    <w:p w:rsidR="00F40CDC" w:rsidRPr="004841CB" w:rsidRDefault="00F40CDC" w:rsidP="00F40CDC">
      <w:pPr>
        <w:keepNext/>
        <w:keepLines/>
        <w:rPr>
          <w:rFonts w:cs="Arial"/>
        </w:rPr>
      </w:pPr>
    </w:p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2088"/>
        <w:gridCol w:w="630"/>
        <w:gridCol w:w="7020"/>
      </w:tblGrid>
      <w:tr w:rsidR="00F40CDC" w:rsidRPr="004841CB" w:rsidTr="00F62DA8">
        <w:tc>
          <w:tcPr>
            <w:tcW w:w="2088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ab/>
              <w:t>(b) Prepared so they remain intact,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and</w:t>
            </w:r>
          </w:p>
        </w:tc>
      </w:tr>
      <w:tr w:rsidR="00F40CDC" w:rsidRPr="004841CB" w:rsidTr="00F62DA8">
        <w:tc>
          <w:tcPr>
            <w:tcW w:w="2088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</w:tr>
      <w:tr w:rsidR="00F40CDC" w:rsidRPr="004841CB" w:rsidTr="00F62DA8">
        <w:tc>
          <w:tcPr>
            <w:tcW w:w="2088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ind w:left="720" w:hanging="720"/>
              <w:rPr>
                <w:rFonts w:cs="Arial"/>
              </w:rPr>
            </w:pPr>
            <w:r w:rsidRPr="004841CB">
              <w:rPr>
                <w:rFonts w:cs="Arial"/>
              </w:rPr>
              <w:tab/>
              <w:t xml:space="preserve">(c) If </w:t>
            </w:r>
            <w:r w:rsidRPr="004841CB">
              <w:rPr>
                <w:rFonts w:cs="Arial"/>
                <w:smallCaps/>
                <w:szCs w:val="24"/>
              </w:rPr>
              <w:t>package</w:t>
            </w:r>
            <w:r w:rsidRPr="004841CB">
              <w:rPr>
                <w:rFonts w:cs="Arial"/>
                <w:smallCaps/>
              </w:rPr>
              <w:t>d</w:t>
            </w:r>
            <w:r w:rsidRPr="004841CB">
              <w:rPr>
                <w:rFonts w:cs="Arial"/>
              </w:rPr>
              <w:t xml:space="preserve"> for undercooking in a </w:t>
            </w:r>
            <w:r w:rsidRPr="004841CB">
              <w:rPr>
                <w:rFonts w:cs="Arial"/>
                <w:smallCaps/>
              </w:rPr>
              <w:t>food establishment</w:t>
            </w:r>
            <w:r w:rsidRPr="004841CB">
              <w:rPr>
                <w:rFonts w:cs="Arial"/>
              </w:rPr>
              <w:t>, labeled as specified in Subparagraph (E)(1) of this section or identified as specified in (E)(2) of this section.</w:t>
            </w:r>
            <w:r w:rsidRPr="004841CB">
              <w:rPr>
                <w:rFonts w:cs="Arial"/>
                <w:vertAlign w:val="superscript"/>
              </w:rPr>
              <w:t xml:space="preserve"> Pf</w:t>
            </w:r>
            <w:r w:rsidRPr="004841CB">
              <w:rPr>
                <w:rFonts w:cs="Arial"/>
              </w:rPr>
              <w:t xml:space="preserve">  </w:t>
            </w:r>
          </w:p>
        </w:tc>
      </w:tr>
      <w:tr w:rsidR="00F40CDC" w:rsidRPr="004841CB" w:rsidTr="00F62DA8">
        <w:tc>
          <w:tcPr>
            <w:tcW w:w="2088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</w:tr>
      <w:tr w:rsidR="00F40CDC" w:rsidRPr="004841CB" w:rsidTr="00F62DA8">
        <w:tc>
          <w:tcPr>
            <w:tcW w:w="2088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(F) </w:t>
            </w:r>
            <w:r w:rsidRPr="004841CB">
              <w:rPr>
                <w:rFonts w:cs="Arial"/>
                <w:smallCaps/>
              </w:rPr>
              <w:t>Meat</w:t>
            </w:r>
            <w:r w:rsidRPr="004841CB">
              <w:rPr>
                <w:rFonts w:cs="Arial"/>
              </w:rPr>
              <w:t xml:space="preserve"> and </w:t>
            </w:r>
            <w:r w:rsidRPr="004841CB">
              <w:rPr>
                <w:rFonts w:cs="Arial"/>
                <w:smallCaps/>
              </w:rPr>
              <w:t>poultry</w:t>
            </w:r>
            <w:r w:rsidRPr="004841CB">
              <w:rPr>
                <w:rFonts w:cs="Arial"/>
              </w:rPr>
              <w:t xml:space="preserve"> that is not a </w:t>
            </w:r>
            <w:r w:rsidRPr="004841CB">
              <w:rPr>
                <w:rFonts w:cs="Arial"/>
                <w:smallCaps/>
              </w:rPr>
              <w:t>ready-to-eat food</w:t>
            </w:r>
            <w:r w:rsidRPr="004841CB">
              <w:rPr>
                <w:rFonts w:cs="Arial"/>
              </w:rPr>
              <w:t xml:space="preserve"> and is in a </w:t>
            </w:r>
            <w:r w:rsidRPr="004841CB">
              <w:rPr>
                <w:rFonts w:cs="Arial"/>
                <w:smallCaps/>
                <w:szCs w:val="24"/>
              </w:rPr>
              <w:t>packaged</w:t>
            </w:r>
            <w:r w:rsidRPr="004841CB">
              <w:rPr>
                <w:rFonts w:cs="Arial"/>
              </w:rPr>
              <w:t xml:space="preserve"> form when it is offered for sale or otherwise offered for consumption, shall be labeled to include safe handling instructions as specified in </w:t>
            </w:r>
            <w:r w:rsidRPr="004841CB">
              <w:rPr>
                <w:rFonts w:cs="Arial"/>
                <w:smallCaps/>
              </w:rPr>
              <w:t>law</w:t>
            </w:r>
            <w:r w:rsidRPr="004841CB">
              <w:rPr>
                <w:rFonts w:cs="Arial"/>
              </w:rPr>
              <w:t>, including 9 CFR 317.2(l) and 9 CFR 381.125(b).</w:t>
            </w:r>
          </w:p>
        </w:tc>
      </w:tr>
      <w:tr w:rsidR="00F40CDC" w:rsidRPr="004841CB" w:rsidTr="00F62DA8">
        <w:tc>
          <w:tcPr>
            <w:tcW w:w="2088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</w:tr>
      <w:tr w:rsidR="00F40CDC" w:rsidRPr="004841CB" w:rsidTr="00F62DA8">
        <w:tc>
          <w:tcPr>
            <w:tcW w:w="2088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63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</w:p>
        </w:tc>
        <w:tc>
          <w:tcPr>
            <w:tcW w:w="7020" w:type="dxa"/>
          </w:tcPr>
          <w:p w:rsidR="00F40CDC" w:rsidRPr="004841CB" w:rsidRDefault="00F40CDC" w:rsidP="00F62DA8">
            <w:pPr>
              <w:keepNext/>
              <w:keepLines/>
              <w:rPr>
                <w:rFonts w:cs="Arial"/>
              </w:rPr>
            </w:pPr>
            <w:r w:rsidRPr="004841CB">
              <w:rPr>
                <w:rFonts w:cs="Arial"/>
              </w:rPr>
              <w:t xml:space="preserve">(G) </w:t>
            </w:r>
            <w:r w:rsidRPr="004841CB">
              <w:rPr>
                <w:rFonts w:cs="Arial"/>
                <w:smallCaps/>
                <w:szCs w:val="24"/>
              </w:rPr>
              <w:t>Eggs</w:t>
            </w:r>
            <w:r w:rsidRPr="004841CB">
              <w:rPr>
                <w:rFonts w:cs="Arial"/>
              </w:rPr>
              <w:t xml:space="preserve"> that have not been specifically treated to destroy all viable </w:t>
            </w:r>
            <w:r w:rsidRPr="004841CB">
              <w:rPr>
                <w:rFonts w:cs="Arial"/>
                <w:b/>
                <w:i/>
              </w:rPr>
              <w:t>Salmonellae</w:t>
            </w:r>
            <w:r w:rsidRPr="004841CB">
              <w:rPr>
                <w:rFonts w:cs="Arial"/>
              </w:rPr>
              <w:t xml:space="preserve"> shall be labeled to include safe handling instructions as specified in </w:t>
            </w:r>
            <w:r w:rsidRPr="004841CB">
              <w:rPr>
                <w:rFonts w:cs="Arial"/>
                <w:smallCaps/>
              </w:rPr>
              <w:t>law</w:t>
            </w:r>
            <w:r w:rsidRPr="004841CB">
              <w:rPr>
                <w:rFonts w:cs="Arial"/>
              </w:rPr>
              <w:t xml:space="preserve">, including 21 CFR 101.17(h).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A1E3A"/>
    <w:multiLevelType w:val="hybridMultilevel"/>
    <w:tmpl w:val="342E5884"/>
    <w:lvl w:ilvl="0" w:tplc="A552D7FA">
      <w:start w:val="1"/>
      <w:numFmt w:val="upp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CDC"/>
    <w:rsid w:val="00DF341E"/>
    <w:rsid w:val="00F4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CD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CD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2012-09-06T01:19:00Z</dcterms:created>
  <dcterms:modified xsi:type="dcterms:W3CDTF">2012-09-06T01:19:00Z</dcterms:modified>
</cp:coreProperties>
</file>