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3-304.12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In-Use Utensils, Between-Use Storage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During pauses in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preparation or dispensing,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preparation and dispensing </w:t>
            </w:r>
            <w:r w:rsidRPr="004841CB">
              <w:rPr>
                <w:rFonts w:cs="Arial"/>
                <w:smallCaps/>
              </w:rPr>
              <w:t>utensils</w:t>
            </w:r>
            <w:r w:rsidRPr="004841CB">
              <w:rPr>
                <w:rFonts w:cs="Arial"/>
              </w:rPr>
              <w:t xml:space="preserve"> shall be stored:  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Except as specified under ¶ (B) of this section, in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with their handles above the top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and the container;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In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not </w:t>
            </w:r>
            <w:r w:rsidRPr="004841CB">
              <w:rPr>
                <w:rFonts w:cs="Arial"/>
                <w:smallCaps/>
                <w:szCs w:val="24"/>
              </w:rPr>
              <w:t>potentially hazardous</w:t>
            </w:r>
            <w:r w:rsidRPr="004841CB">
              <w:rPr>
                <w:rFonts w:cs="Arial"/>
              </w:rPr>
              <w:t xml:space="preserve"> (</w:t>
            </w:r>
            <w:r w:rsidRPr="004841CB">
              <w:rPr>
                <w:rFonts w:cs="Arial"/>
                <w:smallCaps/>
                <w:szCs w:val="24"/>
              </w:rPr>
              <w:t xml:space="preserve">time/temperature control for safety food) </w:t>
            </w:r>
            <w:r w:rsidRPr="004841CB">
              <w:rPr>
                <w:rFonts w:cs="Arial"/>
              </w:rPr>
              <w:t xml:space="preserve">with their handles above the top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within containers or 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</w:t>
            </w:r>
            <w:r w:rsidRPr="004841CB">
              <w:rPr>
                <w:rFonts w:cs="Arial"/>
                <w:smallCaps/>
                <w:szCs w:val="24"/>
              </w:rPr>
              <w:t>equipment</w:t>
            </w:r>
            <w:r w:rsidRPr="004841CB">
              <w:rPr>
                <w:rFonts w:cs="Arial"/>
              </w:rPr>
              <w:t xml:space="preserve"> that can be closed, such as bins of sugar, flour, or cinnamon;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On a clean portion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preparation table or cooking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only if the in-use </w:t>
            </w:r>
            <w:r w:rsidRPr="004841CB">
              <w:rPr>
                <w:rFonts w:cs="Arial"/>
                <w:smallCaps/>
              </w:rPr>
              <w:t>utensil</w:t>
            </w:r>
            <w:r w:rsidRPr="004841CB">
              <w:rPr>
                <w:rFonts w:cs="Arial"/>
              </w:rPr>
              <w:t xml:space="preserve"> and the </w:t>
            </w:r>
            <w:r w:rsidRPr="004841CB">
              <w:rPr>
                <w:rFonts w:cs="Arial"/>
                <w:smallCaps/>
              </w:rPr>
              <w:t>food-contact</w:t>
            </w:r>
            <w:r w:rsidRPr="004841CB">
              <w:rPr>
                <w:rFonts w:cs="Arial"/>
              </w:rPr>
              <w:t xml:space="preserve"> surface of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preparation table or cooking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are cleaned and </w:t>
            </w:r>
            <w:r w:rsidRPr="004841CB">
              <w:rPr>
                <w:rFonts w:cs="Arial"/>
                <w:smallCaps/>
              </w:rPr>
              <w:t>sanitized</w:t>
            </w:r>
            <w:r w:rsidRPr="004841CB">
              <w:rPr>
                <w:rFonts w:cs="Arial"/>
              </w:rPr>
              <w:t xml:space="preserve"> at a frequency specified under §§ 4</w:t>
            </w:r>
            <w:r w:rsidRPr="004841CB">
              <w:rPr>
                <w:rFonts w:cs="Arial"/>
              </w:rPr>
              <w:noBreakHyphen/>
              <w:t>602.11 and 4</w:t>
            </w:r>
            <w:r w:rsidRPr="004841CB">
              <w:rPr>
                <w:rFonts w:cs="Arial"/>
              </w:rPr>
              <w:noBreakHyphen/>
              <w:t>702.11;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(D) In running water of sufficient velocity to flush particulates to the drain, if used with moist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such as ice cream or mashed potatoes;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(E) In a clean, protected location if the </w:t>
            </w:r>
            <w:r w:rsidRPr="004841CB">
              <w:rPr>
                <w:rFonts w:cs="Arial"/>
                <w:smallCaps/>
              </w:rPr>
              <w:t>utensils</w:t>
            </w:r>
            <w:r w:rsidRPr="004841CB">
              <w:rPr>
                <w:rFonts w:cs="Arial"/>
              </w:rPr>
              <w:t xml:space="preserve">, such as ice scoops, are used only with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not </w:t>
            </w:r>
            <w:r w:rsidRPr="004841CB">
              <w:rPr>
                <w:rFonts w:cs="Arial"/>
                <w:smallCaps/>
                <w:szCs w:val="24"/>
              </w:rPr>
              <w:t>potentially hazardous</w:t>
            </w:r>
            <w:r w:rsidRPr="004841CB">
              <w:rPr>
                <w:rFonts w:cs="Arial"/>
                <w:smallCaps/>
              </w:rPr>
              <w:t xml:space="preserve"> (time/temperature control for safety food); </w:t>
            </w:r>
            <w:r w:rsidRPr="004841CB">
              <w:rPr>
                <w:rFonts w:cs="Arial"/>
              </w:rPr>
              <w:t>or</w:t>
            </w: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1B19F2" w:rsidRPr="004841CB" w:rsidTr="00307065">
        <w:tc>
          <w:tcPr>
            <w:tcW w:w="6944" w:type="dxa"/>
          </w:tcPr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(F) In a container of water if the water is maintained at a temperature of at least 57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(135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 xml:space="preserve">F) and the container is cleaned at a frequency specified under Subparagraph </w:t>
            </w:r>
          </w:p>
          <w:p w:rsidR="001B19F2" w:rsidRPr="004841CB" w:rsidRDefault="001B19F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4-602.11(D</w:t>
            </w:r>
            <w:proofErr w:type="gramStart"/>
            <w:r w:rsidRPr="004841CB">
              <w:rPr>
                <w:rFonts w:cs="Arial"/>
              </w:rPr>
              <w:t>)(</w:t>
            </w:r>
            <w:proofErr w:type="gramEnd"/>
            <w:r w:rsidRPr="004841CB">
              <w:rPr>
                <w:rFonts w:cs="Arial"/>
              </w:rPr>
              <w:t xml:space="preserve">7).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F2"/>
    <w:rsid w:val="001B19F2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F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F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2012-09-11T13:08:00Z</dcterms:created>
  <dcterms:modified xsi:type="dcterms:W3CDTF">2012-09-11T13:08:00Z</dcterms:modified>
</cp:coreProperties>
</file>