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00"/>
        <w:gridCol w:w="6963"/>
      </w:tblGrid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rPr>
                <w:b/>
                <w:i/>
              </w:rPr>
              <w:t>Indoor Areas</w:t>
            </w: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6-101.11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Surface Characteristics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 (B) of this section, materials for indoor floor, wall, and ceiling surfaces under conditions of normal use shall be:  </w:t>
            </w: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(1) </w:t>
            </w:r>
            <w:r w:rsidRPr="004841CB">
              <w:rPr>
                <w:smallCaps/>
              </w:rPr>
              <w:t>Smooth</w:t>
            </w:r>
            <w:r w:rsidRPr="004841CB">
              <w:t xml:space="preserve">, durable, and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 for areas where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operations are conducted;</w:t>
            </w: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(2) Closely woven and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 carpet for carpeted areas; and</w:t>
            </w: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(3) Nonabsorbent for areas subject to moisture such as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areas, walk-in refrigerators,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areas, toilet rooms, mobile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</w:t>
            </w:r>
            <w:r w:rsidRPr="004841CB">
              <w:rPr>
                <w:smallCaps/>
              </w:rPr>
              <w:t>servicing areas</w:t>
            </w:r>
            <w:r w:rsidRPr="004841CB">
              <w:t xml:space="preserve">, and areas subject to flushing or spray cleaning methods.  </w:t>
            </w: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CA08BF" w:rsidRPr="004841CB" w:rsidTr="00F62DA8">
        <w:trPr>
          <w:cantSplit/>
        </w:trPr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i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In a </w:t>
            </w:r>
            <w:r w:rsidRPr="004841CB">
              <w:rPr>
                <w:i/>
                <w:smallCaps/>
              </w:rPr>
              <w:t>temporary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establishment:</w:t>
            </w:r>
            <w:r w:rsidRPr="004841CB">
              <w:rPr>
                <w:i/>
              </w:rPr>
              <w:t xml:space="preserve"> </w:t>
            </w:r>
          </w:p>
        </w:tc>
      </w:tr>
      <w:tr w:rsidR="00CA08BF" w:rsidRPr="004841CB" w:rsidTr="00F62DA8">
        <w:trPr>
          <w:cantSplit/>
        </w:trPr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A08BF" w:rsidRPr="004841CB" w:rsidTr="00F62DA8">
        <w:trPr>
          <w:cantSplit/>
        </w:trPr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(1) </w:t>
            </w:r>
            <w:r w:rsidRPr="004841CB">
              <w:rPr>
                <w:i/>
              </w:rPr>
              <w:t xml:space="preserve">If graded to drain, a floor may be concrete, machine-laid asphalt, or dirt or gravel if it is covered with mats, removable platforms, duckboards, or other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 materials that are effectively treated to control dust and mud; and</w:t>
            </w: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6" w:hanging="1496"/>
            </w:pPr>
          </w:p>
        </w:tc>
      </w:tr>
      <w:tr w:rsidR="00CA08BF" w:rsidRPr="004841CB" w:rsidTr="00F62DA8">
        <w:tc>
          <w:tcPr>
            <w:tcW w:w="1980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468"/>
                <w:tab w:val="left" w:pos="854"/>
                <w:tab w:val="left" w:pos="1207"/>
                <w:tab w:val="left" w:pos="1593"/>
                <w:tab w:val="left" w:pos="2148"/>
                <w:tab w:val="left" w:pos="2534"/>
                <w:tab w:val="left" w:pos="2904"/>
                <w:tab w:val="left" w:pos="3273"/>
                <w:tab w:val="left" w:pos="3592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  <w:tc>
          <w:tcPr>
            <w:tcW w:w="698" w:type="dxa"/>
          </w:tcPr>
          <w:p w:rsidR="00CA08BF" w:rsidRPr="004841CB" w:rsidRDefault="00CA08BF" w:rsidP="00F62DA8"/>
        </w:tc>
        <w:tc>
          <w:tcPr>
            <w:tcW w:w="6944" w:type="dxa"/>
          </w:tcPr>
          <w:p w:rsidR="00CA08BF" w:rsidRPr="004841CB" w:rsidRDefault="00CA08BF" w:rsidP="00F62DA8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>Walls and ceilings may be constructed of a material that protects the interior from the weather and windblown dust and debris.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8BF"/>
    <w:rsid w:val="00CA08BF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B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8B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2012-09-06T01:04:00Z</dcterms:created>
  <dcterms:modified xsi:type="dcterms:W3CDTF">2012-09-06T01:04:00Z</dcterms:modified>
</cp:coreProperties>
</file>