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Storing</w:t>
            </w: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4-903.11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Equipment, Utensils, Linens, and Single-Service and Single-Use Articles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Except as specified in ¶ (D) of this section, cleaned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, laundered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shall be stored:  </w:t>
            </w: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rPr>
                <w:b/>
              </w:rPr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(1) In a clean, dry location;</w:t>
            </w: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pStyle w:val="BodyTextIndent2"/>
              <w:ind w:left="374" w:hanging="374"/>
            </w:pPr>
            <w:r w:rsidRPr="004841CB">
              <w:tab/>
              <w:t>(2) Where they are not exposed to splash, dust, or other contamination; and</w:t>
            </w: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(3) At least 15 cm (6 inches) above the floor.  </w:t>
            </w:r>
          </w:p>
        </w:tc>
      </w:tr>
      <w:tr w:rsidR="00126778" w:rsidRPr="004841CB" w:rsidTr="00126778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shall be stored as specified under ¶ (A) of this section and shall be kept in the original protective </w:t>
            </w:r>
            <w:r w:rsidRPr="004841CB">
              <w:rPr>
                <w:smallCaps/>
                <w:szCs w:val="24"/>
              </w:rPr>
              <w:t>package</w:t>
            </w:r>
            <w:r w:rsidRPr="004841CB">
              <w:t xml:space="preserve"> or stored by using other means that afford protection from contamination until used.  </w:t>
            </w: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6E3FBB"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26778" w:rsidRPr="004841CB" w:rsidTr="006E3FBB">
        <w:trPr>
          <w:cantSplit/>
        </w:trPr>
        <w:tc>
          <w:tcPr>
            <w:tcW w:w="1962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26778" w:rsidRPr="004841CB" w:rsidRDefault="0012677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778"/>
    <w:rsid w:val="00126778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7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26778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26778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7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26778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26778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2012-09-11T13:54:00Z</dcterms:created>
  <dcterms:modified xsi:type="dcterms:W3CDTF">2012-09-11T13:55:00Z</dcterms:modified>
</cp:coreProperties>
</file>