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421B45" w:rsidRPr="004841CB" w:rsidTr="00F62DA8">
        <w:trPr>
          <w:cantSplit/>
        </w:trPr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6-301.12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Hand Drying Provision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Each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or group of adjacent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sinks</w:t>
            </w:r>
            <w:r w:rsidRPr="004841CB">
              <w:t xml:space="preserve"> shall be provided with:  </w:t>
            </w: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(A) Individual, disposable towels;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(B) A continuous towel system that supplies the user with a clean towel;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(C) A heated-air hand drying device;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  </w:t>
            </w: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</w:p>
        </w:tc>
      </w:tr>
      <w:tr w:rsidR="00421B45" w:rsidRPr="004841CB" w:rsidTr="00F62DA8">
        <w:tc>
          <w:tcPr>
            <w:tcW w:w="6944" w:type="dxa"/>
          </w:tcPr>
          <w:p w:rsidR="00421B45" w:rsidRPr="004841CB" w:rsidRDefault="00421B45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/>
            </w:pPr>
            <w:r w:rsidRPr="004841CB">
              <w:t>(D) A hand drying device that employs an air-knife system that delivers high velocity, pressurized air at ambient temperatures.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45"/>
    <w:rsid w:val="00421B45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B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B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2012-09-06T01:11:00Z</dcterms:created>
  <dcterms:modified xsi:type="dcterms:W3CDTF">2012-09-06T01:11:00Z</dcterms:modified>
</cp:coreProperties>
</file>