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370"/>
        <w:gridCol w:w="1678"/>
        <w:gridCol w:w="370"/>
        <w:gridCol w:w="350"/>
        <w:gridCol w:w="370"/>
        <w:gridCol w:w="6574"/>
        <w:gridCol w:w="370"/>
      </w:tblGrid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b/>
                <w:i/>
              </w:rPr>
              <w:t>Preventing Food</w:t>
            </w:r>
          </w:p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and Ingredient</w:t>
            </w:r>
          </w:p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Contamination</w:t>
            </w: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3-302.11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Packaged and Unpackaged Food - Separation, Packaging, and Segregation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  <w:smallCaps/>
              </w:rPr>
              <w:t>(A) Food</w:t>
            </w:r>
            <w:r w:rsidRPr="004841CB">
              <w:rPr>
                <w:rFonts w:cs="Arial"/>
              </w:rPr>
              <w:t xml:space="preserve"> shall be protected from cross contamination by:  </w:t>
            </w:r>
            <w:r w:rsidRPr="004841CB">
              <w:rPr>
                <w:rFonts w:cs="Arial"/>
              </w:rPr>
              <w:tab/>
            </w:r>
          </w:p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(1) </w:t>
            </w:r>
            <w:r w:rsidRPr="004841CB">
              <w:rPr>
                <w:rFonts w:cs="Arial"/>
                <w:szCs w:val="24"/>
              </w:rPr>
              <w:t>Except as specified in (1)(c) below, s</w:t>
            </w:r>
            <w:r w:rsidRPr="004841CB">
              <w:rPr>
                <w:rFonts w:cs="Arial"/>
              </w:rPr>
              <w:t xml:space="preserve">eparating raw animal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during storage, preparation, holding, and display from: 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 w:hanging="720"/>
              <w:rPr>
                <w:rFonts w:cs="Arial"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9" w:hanging="749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 xml:space="preserve">     (a) Raw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including other raw animal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such as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for sushi or </w:t>
            </w:r>
            <w:proofErr w:type="spellStart"/>
            <w:r w:rsidRPr="004841CB">
              <w:rPr>
                <w:rFonts w:cs="Arial"/>
                <w:smallCaps/>
              </w:rPr>
              <w:t>molluscan</w:t>
            </w:r>
            <w:proofErr w:type="spellEnd"/>
            <w:r w:rsidRPr="004841CB">
              <w:rPr>
                <w:rFonts w:cs="Arial"/>
                <w:smallCaps/>
              </w:rPr>
              <w:t xml:space="preserve"> shellfish</w:t>
            </w:r>
            <w:r w:rsidRPr="004841CB">
              <w:rPr>
                <w:rFonts w:cs="Arial"/>
              </w:rPr>
              <w:t xml:space="preserve">, or other raw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such as fruits and vegetables,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 xml:space="preserve">      (b) Cooked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0"/>
              <w:rPr>
                <w:rFonts w:cs="Arial"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ind w:left="720"/>
              <w:rPr>
                <w:rFonts w:cs="Arial"/>
                <w:i/>
              </w:rPr>
            </w:pPr>
            <w:r w:rsidRPr="004841CB">
              <w:rPr>
                <w:rFonts w:cs="Arial"/>
              </w:rPr>
              <w:t xml:space="preserve"> (c) </w:t>
            </w:r>
            <w:proofErr w:type="gramStart"/>
            <w:r w:rsidRPr="004841CB">
              <w:rPr>
                <w:rFonts w:cs="Arial"/>
                <w:i/>
              </w:rPr>
              <w:t>Frozen,</w:t>
            </w:r>
            <w:proofErr w:type="gramEnd"/>
            <w:r w:rsidRPr="004841CB">
              <w:rPr>
                <w:rFonts w:cs="Arial"/>
                <w:i/>
              </w:rPr>
              <w:t xml:space="preserve"> commercially processed and packaged raw animal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may be stored or displayed with or above frozen, commercially processed and packaged, ready-to-eat food.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>Except when combined as ingredients</w:t>
            </w:r>
            <w:r w:rsidRPr="004841CB">
              <w:rPr>
                <w:rFonts w:cs="Arial"/>
              </w:rPr>
              <w:t xml:space="preserve">, separating types    of raw animal </w:t>
            </w:r>
            <w:r w:rsidRPr="004841CB">
              <w:rPr>
                <w:rFonts w:cs="Arial"/>
                <w:smallCaps/>
              </w:rPr>
              <w:t>foods</w:t>
            </w:r>
            <w:r w:rsidRPr="004841CB">
              <w:rPr>
                <w:rFonts w:cs="Arial"/>
              </w:rPr>
              <w:t xml:space="preserve"> from each other such as beef,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, lamb, pork, and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 during storage, preparation, holding, and display by:  </w:t>
            </w: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0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(a) Using separate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for each type,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63" w:hanging="389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(b) Arranging each type of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in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so that cross contamination of one type with another is prevented,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8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(c) Preparing each type of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at different times or in separate areas;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(3) Cleaning </w:t>
            </w:r>
            <w:r w:rsidRPr="004841CB">
              <w:rPr>
                <w:rFonts w:cs="Arial"/>
                <w:smallCaps/>
              </w:rPr>
              <w:t>equipment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</w:rPr>
              <w:t>utensils</w:t>
            </w:r>
            <w:r w:rsidRPr="004841CB">
              <w:rPr>
                <w:rFonts w:cs="Arial"/>
              </w:rPr>
              <w:t xml:space="preserve"> as specified under   ¶ 4</w:t>
            </w:r>
            <w:r w:rsidRPr="004841CB">
              <w:rPr>
                <w:rFonts w:cs="Arial"/>
              </w:rPr>
              <w:noBreakHyphen/>
              <w:t xml:space="preserve">602.11(A) and </w:t>
            </w:r>
            <w:r w:rsidRPr="004841CB">
              <w:rPr>
                <w:rFonts w:cs="Arial"/>
                <w:smallCaps/>
              </w:rPr>
              <w:t>sanitizing</w:t>
            </w:r>
            <w:r w:rsidRPr="004841CB">
              <w:rPr>
                <w:rFonts w:cs="Arial"/>
              </w:rPr>
              <w:t xml:space="preserve"> as specified under § 4</w:t>
            </w:r>
            <w:r w:rsidRPr="004841CB">
              <w:rPr>
                <w:rFonts w:cs="Arial"/>
              </w:rPr>
              <w:noBreakHyphen/>
              <w:t>703.11;</w:t>
            </w: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(4) </w:t>
            </w:r>
            <w:r w:rsidRPr="004841CB">
              <w:rPr>
                <w:rFonts w:cs="Arial"/>
                <w:szCs w:val="24"/>
              </w:rPr>
              <w:t>Except as specified under Subparagraph 3</w:t>
            </w:r>
            <w:r w:rsidRPr="004841CB">
              <w:rPr>
                <w:rFonts w:cs="Arial"/>
                <w:szCs w:val="24"/>
              </w:rPr>
              <w:noBreakHyphen/>
              <w:t xml:space="preserve">501.15(B)(2) and in ¶ (B) of this section, storing the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szCs w:val="24"/>
              </w:rPr>
              <w:t xml:space="preserve"> in packages, covered </w:t>
            </w:r>
            <w:r w:rsidRPr="004841CB">
              <w:rPr>
                <w:rFonts w:cs="Arial"/>
              </w:rPr>
              <w:t>containers, or wrappings;</w:t>
            </w: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Before w:val="1"/>
          <w:wBefore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382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(5) Cleaning </w:t>
            </w:r>
            <w:r w:rsidRPr="004841CB">
              <w:rPr>
                <w:rFonts w:cs="Arial"/>
                <w:smallCaps/>
              </w:rPr>
              <w:t>hermetically sealed containers</w:t>
            </w:r>
            <w:r w:rsidRPr="004841CB">
              <w:rPr>
                <w:rFonts w:cs="Arial"/>
              </w:rPr>
              <w:t xml:space="preserve"> of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of visible soil before opening;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     (6) Protecting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containers that are received </w:t>
            </w:r>
            <w:r w:rsidRPr="004841CB">
              <w:rPr>
                <w:rFonts w:cs="Arial"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   together in a case or overwrap from cuts when the case or overwrap is opened;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      (7) Storing damaged, spoiled, or recalled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being held in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 xml:space="preserve"> as specified under § 6</w:t>
            </w:r>
            <w:r w:rsidRPr="004841CB">
              <w:rPr>
                <w:rFonts w:cs="Arial"/>
              </w:rPr>
              <w:noBreakHyphen/>
              <w:t>404.11; and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      (8) Separating fruits and vegetables, before they are washed as specified under § 3</w:t>
            </w:r>
            <w:r w:rsidRPr="004841CB">
              <w:rPr>
                <w:rFonts w:cs="Arial"/>
              </w:rPr>
              <w:noBreakHyphen/>
              <w:t xml:space="preserve">302.15 from </w:t>
            </w:r>
            <w:r w:rsidRPr="004841CB">
              <w:rPr>
                <w:rFonts w:cs="Arial"/>
                <w:smallCaps/>
              </w:rPr>
              <w:t>ready-to-eat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.  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-248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</w:rPr>
              <w:t xml:space="preserve">Subparagraph (A)(4) of this section does not apply to:  </w:t>
            </w:r>
          </w:p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</w:rPr>
            </w:pPr>
          </w:p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  <w:i/>
              </w:rPr>
              <w:tab/>
              <w:t xml:space="preserve">      (1) Whole, uncut, raw fruits and vegetables and nuts in the shell, that require peeling or hulling before consumption;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 (2) </w:t>
            </w:r>
            <w:r w:rsidRPr="004841CB">
              <w:rPr>
                <w:rFonts w:cs="Arial"/>
                <w:i/>
                <w:smallCaps/>
              </w:rPr>
              <w:t>Primal cuts</w:t>
            </w:r>
            <w:r w:rsidRPr="004841CB">
              <w:rPr>
                <w:rFonts w:cs="Arial"/>
                <w:i/>
              </w:rPr>
              <w:t xml:space="preserve">, quarters, or sides of raw </w:t>
            </w:r>
            <w:r w:rsidRPr="004841CB">
              <w:rPr>
                <w:rFonts w:cs="Arial"/>
                <w:i/>
                <w:smallCaps/>
              </w:rPr>
              <w:t>meat</w:t>
            </w:r>
            <w:r w:rsidRPr="004841CB">
              <w:rPr>
                <w:rFonts w:cs="Arial"/>
                <w:i/>
              </w:rPr>
              <w:t xml:space="preserve"> or slab bacon that are hung on clean, </w:t>
            </w:r>
            <w:r w:rsidRPr="004841CB">
              <w:rPr>
                <w:rFonts w:cs="Arial"/>
                <w:i/>
                <w:smallCaps/>
              </w:rPr>
              <w:t>sanitized</w:t>
            </w:r>
            <w:r w:rsidRPr="004841CB">
              <w:rPr>
                <w:rFonts w:cs="Arial"/>
                <w:i/>
              </w:rPr>
              <w:t xml:space="preserve"> hooks or placed on clean, </w:t>
            </w:r>
            <w:r w:rsidRPr="004841CB">
              <w:rPr>
                <w:rFonts w:cs="Arial"/>
                <w:i/>
                <w:smallCaps/>
              </w:rPr>
              <w:t>sanitized</w:t>
            </w:r>
            <w:r w:rsidRPr="004841CB">
              <w:rPr>
                <w:rFonts w:cs="Arial"/>
                <w:i/>
              </w:rPr>
              <w:t xml:space="preserve"> racks;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 (3) </w:t>
            </w:r>
            <w:r w:rsidRPr="004841CB">
              <w:rPr>
                <w:rFonts w:cs="Arial"/>
                <w:i/>
              </w:rPr>
              <w:t xml:space="preserve">Whole, uncut, processed </w:t>
            </w:r>
            <w:r w:rsidRPr="004841CB">
              <w:rPr>
                <w:rFonts w:cs="Arial"/>
                <w:i/>
                <w:smallCaps/>
              </w:rPr>
              <w:t>meats</w:t>
            </w:r>
            <w:r w:rsidRPr="004841CB">
              <w:rPr>
                <w:rFonts w:cs="Arial"/>
                <w:i/>
              </w:rPr>
              <w:t xml:space="preserve"> such as country hams, and smoked or cured sausages that are placed on clean, </w:t>
            </w:r>
            <w:r w:rsidRPr="004841CB">
              <w:rPr>
                <w:rFonts w:cs="Arial"/>
                <w:i/>
                <w:smallCaps/>
              </w:rPr>
              <w:t>sanitized</w:t>
            </w:r>
            <w:r w:rsidRPr="004841CB">
              <w:rPr>
                <w:rFonts w:cs="Arial"/>
                <w:i/>
              </w:rPr>
              <w:t xml:space="preserve"> racks;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      (4)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being cooled as specified under Subparagraph 3</w:t>
            </w:r>
            <w:r w:rsidRPr="004841CB">
              <w:rPr>
                <w:rFonts w:cs="Arial"/>
                <w:i/>
              </w:rPr>
              <w:noBreakHyphen/>
              <w:t>501.15(B)(2); or</w:t>
            </w: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C41F6B" w:rsidRPr="004841CB" w:rsidTr="00F62DA8">
        <w:trPr>
          <w:gridAfter w:val="1"/>
          <w:wAfter w:w="370" w:type="dxa"/>
        </w:trPr>
        <w:tc>
          <w:tcPr>
            <w:tcW w:w="2048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720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jc w:val="center"/>
              <w:rPr>
                <w:rFonts w:cs="Arial"/>
                <w:b/>
                <w:i/>
              </w:rPr>
            </w:pPr>
          </w:p>
        </w:tc>
        <w:tc>
          <w:tcPr>
            <w:tcW w:w="6944" w:type="dxa"/>
            <w:gridSpan w:val="2"/>
          </w:tcPr>
          <w:p w:rsidR="00C41F6B" w:rsidRPr="004841CB" w:rsidRDefault="00C41F6B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(5) </w:t>
            </w:r>
            <w:proofErr w:type="spellStart"/>
            <w:r w:rsidRPr="004841CB">
              <w:rPr>
                <w:rFonts w:cs="Arial"/>
                <w:i/>
                <w:smallCaps/>
              </w:rPr>
              <w:t>Shellstock</w:t>
            </w:r>
            <w:proofErr w:type="spellEnd"/>
            <w:r w:rsidRPr="004841CB">
              <w:rPr>
                <w:rFonts w:cs="Arial"/>
              </w:rPr>
              <w:t xml:space="preserve">.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6B"/>
    <w:rsid w:val="00C41F6B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F6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F6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2012-09-06T02:09:00Z</dcterms:created>
  <dcterms:modified xsi:type="dcterms:W3CDTF">2012-09-06T02:10:00Z</dcterms:modified>
</cp:coreProperties>
</file>