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0B" w:rsidRDefault="00B46F0B" w:rsidP="005903F5">
      <w:pPr>
        <w:ind w:left="90"/>
      </w:pPr>
    </w:p>
    <w:p w:rsidR="00AB2F20" w:rsidRPr="004345E4" w:rsidRDefault="00AB2F20" w:rsidP="00AB2F20">
      <w:pPr>
        <w:jc w:val="center"/>
        <w:rPr>
          <w:b/>
          <w:sz w:val="36"/>
          <w:szCs w:val="36"/>
        </w:rPr>
      </w:pPr>
      <w:r w:rsidRPr="004345E4">
        <w:rPr>
          <w:b/>
          <w:sz w:val="36"/>
          <w:szCs w:val="36"/>
        </w:rPr>
        <w:t>TOE RIVER HEALTH DISTRICT</w:t>
      </w:r>
    </w:p>
    <w:p w:rsidR="00AB2F20" w:rsidRDefault="00AB2F20" w:rsidP="00AB2F20">
      <w:pPr>
        <w:jc w:val="center"/>
        <w:rPr>
          <w:b/>
          <w:sz w:val="36"/>
          <w:szCs w:val="36"/>
        </w:rPr>
      </w:pPr>
      <w:r w:rsidRPr="004345E4">
        <w:rPr>
          <w:b/>
          <w:sz w:val="36"/>
          <w:szCs w:val="36"/>
        </w:rPr>
        <w:t>Environmental Health Specialist</w:t>
      </w:r>
      <w:r w:rsidR="00565747">
        <w:rPr>
          <w:b/>
          <w:sz w:val="36"/>
          <w:szCs w:val="36"/>
        </w:rPr>
        <w:t>-Onsite</w:t>
      </w:r>
    </w:p>
    <w:p w:rsidR="00AB2F20" w:rsidRPr="004345E4" w:rsidRDefault="00AB2F20" w:rsidP="00AB2F20">
      <w:pPr>
        <w:jc w:val="center"/>
        <w:rPr>
          <w:b/>
          <w:sz w:val="36"/>
          <w:szCs w:val="36"/>
        </w:rPr>
      </w:pPr>
    </w:p>
    <w:p w:rsidR="00AB2F20" w:rsidRPr="0066122B" w:rsidRDefault="00AB2F20" w:rsidP="00AB2F20">
      <w:pPr>
        <w:rPr>
          <w:b/>
          <w:sz w:val="32"/>
          <w:szCs w:val="32"/>
        </w:rPr>
      </w:pPr>
      <w:r w:rsidRPr="0066122B">
        <w:rPr>
          <w:b/>
          <w:sz w:val="32"/>
          <w:szCs w:val="32"/>
        </w:rPr>
        <w:t>Come and join us at Toe River Health District as an Environmental Health Specialist! We have</w:t>
      </w:r>
      <w:r>
        <w:rPr>
          <w:b/>
          <w:sz w:val="32"/>
          <w:szCs w:val="32"/>
        </w:rPr>
        <w:t xml:space="preserve"> </w:t>
      </w:r>
      <w:r w:rsidRPr="006566F2">
        <w:rPr>
          <w:b/>
          <w:sz w:val="32"/>
          <w:szCs w:val="32"/>
          <w:highlight w:val="yellow"/>
        </w:rPr>
        <w:t>new management, new competitive salaries depending on experience and great new benefits listed below!</w:t>
      </w:r>
      <w:r w:rsidRPr="0066122B">
        <w:rPr>
          <w:b/>
          <w:sz w:val="32"/>
          <w:szCs w:val="32"/>
        </w:rPr>
        <w:t xml:space="preserve"> </w:t>
      </w:r>
    </w:p>
    <w:p w:rsidR="00AB2F20" w:rsidRDefault="00AB2F20" w:rsidP="00AB2F20">
      <w:pPr>
        <w:rPr>
          <w:b/>
        </w:rPr>
      </w:pPr>
    </w:p>
    <w:p w:rsidR="00AB2F20" w:rsidRDefault="00AB2F20" w:rsidP="00AB2F20">
      <w:pPr>
        <w:rPr>
          <w:b/>
          <w:sz w:val="26"/>
          <w:szCs w:val="26"/>
        </w:rPr>
      </w:pPr>
      <w:r w:rsidRPr="00323D00">
        <w:rPr>
          <w:b/>
          <w:sz w:val="26"/>
          <w:szCs w:val="26"/>
        </w:rPr>
        <w:t>Toe River Health District is comprised of Yancey, Mitchell and Avery Counties in the beautiful mountains of western North Carolina. The weather is great here! Our summers are warm but not sweltering hot, our winters can be cold but not frigid. Have fun snow skiing, river rafting, hiking the many trails or Appalachian Trail, waterfalls, beautiful scenery, arts, rural lifestyle, low crime rate, great schools, and friendly people. Enjoy a clean, slower paced way of living! An hour from Asheville,</w:t>
      </w:r>
      <w:r>
        <w:rPr>
          <w:b/>
          <w:sz w:val="26"/>
          <w:szCs w:val="26"/>
        </w:rPr>
        <w:t xml:space="preserve"> Boone</w:t>
      </w:r>
      <w:r w:rsidRPr="00323D00">
        <w:rPr>
          <w:b/>
          <w:sz w:val="26"/>
          <w:szCs w:val="26"/>
        </w:rPr>
        <w:t xml:space="preserve"> and Johnson City, Tennessee. </w:t>
      </w:r>
      <w:r>
        <w:rPr>
          <w:b/>
          <w:sz w:val="26"/>
          <w:szCs w:val="26"/>
        </w:rPr>
        <w:t>Check out the websites for the surrounding counties:</w:t>
      </w:r>
    </w:p>
    <w:p w:rsidR="00AB2F20" w:rsidRDefault="00AB2F20" w:rsidP="00AB2F20">
      <w:pPr>
        <w:rPr>
          <w:b/>
          <w:sz w:val="26"/>
          <w:szCs w:val="26"/>
        </w:rPr>
      </w:pPr>
      <w:r>
        <w:rPr>
          <w:b/>
          <w:sz w:val="26"/>
          <w:szCs w:val="26"/>
        </w:rPr>
        <w:tab/>
        <w:t xml:space="preserve">Johnson City Tennessee:  </w:t>
      </w:r>
      <w:hyperlink r:id="rId6" w:history="1">
        <w:r w:rsidRPr="00BE19CD">
          <w:rPr>
            <w:rStyle w:val="Hyperlink"/>
            <w:b/>
            <w:sz w:val="26"/>
            <w:szCs w:val="26"/>
          </w:rPr>
          <w:t>http://visitjohnsoncitytn.com/</w:t>
        </w:r>
      </w:hyperlink>
    </w:p>
    <w:p w:rsidR="00AB2F20" w:rsidRDefault="00AB2F20" w:rsidP="00AB2F20">
      <w:pPr>
        <w:rPr>
          <w:b/>
          <w:sz w:val="26"/>
          <w:szCs w:val="26"/>
        </w:rPr>
      </w:pPr>
      <w:r>
        <w:rPr>
          <w:b/>
          <w:sz w:val="26"/>
          <w:szCs w:val="26"/>
        </w:rPr>
        <w:tab/>
        <w:t xml:space="preserve">Asheville:  </w:t>
      </w:r>
      <w:hyperlink r:id="rId7" w:history="1">
        <w:r w:rsidRPr="00771118">
          <w:rPr>
            <w:rStyle w:val="Hyperlink"/>
            <w:b/>
            <w:sz w:val="26"/>
            <w:szCs w:val="26"/>
          </w:rPr>
          <w:t>https://www.exploreasheville.com/</w:t>
        </w:r>
      </w:hyperlink>
    </w:p>
    <w:p w:rsidR="00AB2F20" w:rsidRPr="00323D00" w:rsidRDefault="00AB2F20" w:rsidP="00AB2F20">
      <w:pPr>
        <w:rPr>
          <w:b/>
          <w:sz w:val="26"/>
          <w:szCs w:val="26"/>
        </w:rPr>
      </w:pPr>
      <w:r>
        <w:rPr>
          <w:b/>
          <w:sz w:val="26"/>
          <w:szCs w:val="26"/>
        </w:rPr>
        <w:tab/>
        <w:t xml:space="preserve">Boone:  </w:t>
      </w:r>
      <w:hyperlink r:id="rId8" w:history="1">
        <w:r w:rsidRPr="00771118">
          <w:rPr>
            <w:rStyle w:val="Hyperlink"/>
            <w:b/>
            <w:sz w:val="26"/>
            <w:szCs w:val="26"/>
          </w:rPr>
          <w:t>http://www.exploreboone.com/?utm_source=www.visitnc.com&amp;utm_medium=referral&amp;utm_campaign=downstream</w:t>
        </w:r>
      </w:hyperlink>
    </w:p>
    <w:p w:rsidR="00AB2F20" w:rsidRDefault="00AB2F20" w:rsidP="00AB2F20">
      <w:pPr>
        <w:rPr>
          <w:b/>
        </w:rPr>
      </w:pPr>
    </w:p>
    <w:p w:rsidR="00AB2F20" w:rsidRDefault="00AB2F20" w:rsidP="00AB2F20">
      <w:pPr>
        <w:rPr>
          <w:b/>
        </w:rPr>
      </w:pPr>
      <w:r>
        <w:rPr>
          <w:b/>
        </w:rPr>
        <w:t xml:space="preserve">Job Responsibilities:  </w:t>
      </w:r>
      <w:r w:rsidRPr="00F45DC5">
        <w:t xml:space="preserve">Performs intermediate professional work promoting and protecting public health through education, consultation and enforcement of Federal, State and local environmental health laws and regulations.  Employees function relatively independent of supervision and plan short-term work schedules.  </w:t>
      </w:r>
      <w:r>
        <w:t xml:space="preserve">Employees may work as generalists with responsibility in a variety of environmental health programs, or as specialists with the majority of time spent in a single program area with some additional responsibility in other programs. </w:t>
      </w:r>
      <w:r>
        <w:rPr>
          <w:b/>
        </w:rPr>
        <w:t xml:space="preserve"> </w:t>
      </w:r>
    </w:p>
    <w:p w:rsidR="00AB2F20" w:rsidRDefault="00AB2F20" w:rsidP="00AB2F20">
      <w:pPr>
        <w:rPr>
          <w:b/>
        </w:rPr>
      </w:pPr>
    </w:p>
    <w:p w:rsidR="00AB2F20" w:rsidRDefault="00AB2F20" w:rsidP="00AB2F20">
      <w:r>
        <w:rPr>
          <w:b/>
        </w:rPr>
        <w:t xml:space="preserve">Benefits offered: </w:t>
      </w:r>
      <w:r w:rsidRPr="00F45DC5">
        <w:t>M</w:t>
      </w:r>
      <w:r>
        <w:t xml:space="preserve">edical, dental and vision insurance, local government retirement system, supplemental retirement plans offered, life insurance, </w:t>
      </w:r>
      <w:r w:rsidRPr="00AB2F20">
        <w:rPr>
          <w:highlight w:val="yellow"/>
        </w:rPr>
        <w:t xml:space="preserve">12 paid holidays per year, 10 hours of </w:t>
      </w:r>
      <w:r w:rsidR="008931E4">
        <w:rPr>
          <w:highlight w:val="yellow"/>
        </w:rPr>
        <w:t>annual</w:t>
      </w:r>
      <w:r w:rsidRPr="00AB2F20">
        <w:rPr>
          <w:highlight w:val="yellow"/>
        </w:rPr>
        <w:t xml:space="preserve"> leave per month, 9 hours of sick leave per month, 8 </w:t>
      </w:r>
      <w:proofErr w:type="gramStart"/>
      <w:r w:rsidRPr="00AB2F20">
        <w:rPr>
          <w:highlight w:val="yellow"/>
        </w:rPr>
        <w:t>hours</w:t>
      </w:r>
      <w:proofErr w:type="gramEnd"/>
      <w:r w:rsidRPr="00AB2F20">
        <w:rPr>
          <w:highlight w:val="yellow"/>
        </w:rPr>
        <w:t xml:space="preserve"> personal leave per year,</w:t>
      </w:r>
      <w:r>
        <w:t xml:space="preserve"> civil leave, funeral leave, continuing education. </w:t>
      </w:r>
    </w:p>
    <w:p w:rsidR="00AB2F20" w:rsidRPr="00F45DC5" w:rsidRDefault="00AB2F20" w:rsidP="00AB2F20"/>
    <w:p w:rsidR="00AB2F20" w:rsidRPr="002F79E9" w:rsidRDefault="00AB2F20" w:rsidP="00AB2F20">
      <w:pPr>
        <w:rPr>
          <w:sz w:val="32"/>
          <w:szCs w:val="32"/>
        </w:rPr>
      </w:pPr>
      <w:r w:rsidRPr="002F79E9">
        <w:rPr>
          <w:b/>
          <w:sz w:val="32"/>
          <w:szCs w:val="32"/>
          <w:highlight w:val="yellow"/>
        </w:rPr>
        <w:t xml:space="preserve">Additional benefits offered:  </w:t>
      </w:r>
      <w:r w:rsidRPr="002F79E9">
        <w:rPr>
          <w:sz w:val="32"/>
          <w:szCs w:val="32"/>
          <w:highlight w:val="yellow"/>
        </w:rPr>
        <w:t>Work car provided. $500 per year clothing allowance. Work cell phone. Relocation bonus</w:t>
      </w:r>
      <w:r w:rsidR="005E6C50">
        <w:rPr>
          <w:sz w:val="32"/>
          <w:szCs w:val="32"/>
          <w:highlight w:val="yellow"/>
        </w:rPr>
        <w:t xml:space="preserve"> of $1,000-$3,000 depending on distance</w:t>
      </w:r>
      <w:bookmarkStart w:id="0" w:name="_GoBack"/>
      <w:bookmarkEnd w:id="0"/>
      <w:r w:rsidRPr="002F79E9">
        <w:rPr>
          <w:sz w:val="32"/>
          <w:szCs w:val="32"/>
          <w:highlight w:val="yellow"/>
        </w:rPr>
        <w:t>. Sign on bonus will be 10% of your hire salary.</w:t>
      </w:r>
      <w:r w:rsidRPr="002F79E9">
        <w:rPr>
          <w:sz w:val="32"/>
          <w:szCs w:val="32"/>
        </w:rPr>
        <w:t xml:space="preserve"> </w:t>
      </w:r>
    </w:p>
    <w:p w:rsidR="00AB2F20" w:rsidRDefault="00AB2F20" w:rsidP="00AB2F20"/>
    <w:p w:rsidR="00AB2F20" w:rsidRDefault="00AB2F20" w:rsidP="00AB2F20">
      <w:r>
        <w:rPr>
          <w:b/>
        </w:rPr>
        <w:t xml:space="preserve">Hours of Work: </w:t>
      </w:r>
      <w:proofErr w:type="gramStart"/>
      <w:r w:rsidR="00565747">
        <w:t>Generall</w:t>
      </w:r>
      <w:r>
        <w:t>y</w:t>
      </w:r>
      <w:proofErr w:type="gramEnd"/>
      <w:r>
        <w:t xml:space="preserve"> 8-4:30 Monday through Friday with occasional evening &amp; weekend hours mostly in the summer months and ability to be available afterhours to respond to a public health emergency. </w:t>
      </w:r>
    </w:p>
    <w:p w:rsidR="00AB2F20" w:rsidRPr="00323D00" w:rsidRDefault="00AB2F20" w:rsidP="00AB2F20"/>
    <w:p w:rsidR="00AB2F20" w:rsidRDefault="00AB2F20" w:rsidP="00AB2F20">
      <w:pPr>
        <w:rPr>
          <w:b/>
        </w:rPr>
      </w:pPr>
    </w:p>
    <w:p w:rsidR="00AB2F20" w:rsidRDefault="00AB2F20" w:rsidP="00AB2F20">
      <w:pPr>
        <w:rPr>
          <w:b/>
        </w:rPr>
      </w:pPr>
    </w:p>
    <w:p w:rsidR="00AB2F20" w:rsidRDefault="00AB2F20" w:rsidP="00AB2F20">
      <w:pPr>
        <w:rPr>
          <w:b/>
        </w:rPr>
      </w:pPr>
    </w:p>
    <w:p w:rsidR="00AB2F20" w:rsidRDefault="00AB2F20" w:rsidP="00AB2F20">
      <w:pPr>
        <w:rPr>
          <w:b/>
        </w:rPr>
      </w:pPr>
    </w:p>
    <w:p w:rsidR="00AB2F20" w:rsidRDefault="00AB2F20" w:rsidP="00AB2F20">
      <w:pPr>
        <w:rPr>
          <w:b/>
        </w:rPr>
      </w:pPr>
      <w:r>
        <w:rPr>
          <w:b/>
        </w:rPr>
        <w:t xml:space="preserve">Knowledge:  </w:t>
      </w:r>
      <w:r w:rsidRPr="00F45DC5">
        <w:t>Working knowledge of environmental health laws, rules and procedures, as well as complete understanding of the concepts of public health law.  Responsible for enforcement of state and local rules concerning on-site wastewater systems; wel</w:t>
      </w:r>
      <w:r>
        <w:t>l installation and construction and/or</w:t>
      </w:r>
      <w:r w:rsidRPr="00F45DC5">
        <w:t xml:space="preserve"> food, lodging and institutional sanitation.  Ability to apply environmental health knowledge and techniques in the investigation of environmental health problems.  General knowledge of water and wastewater system design, construction and requirements.  Ability to establish and maintain effective working relationships with associates and the general public.</w:t>
      </w:r>
    </w:p>
    <w:p w:rsidR="00AB2F20" w:rsidRDefault="00AB2F20" w:rsidP="00AB2F20">
      <w:pPr>
        <w:rPr>
          <w:b/>
        </w:rPr>
      </w:pPr>
    </w:p>
    <w:p w:rsidR="00AB2F20" w:rsidRDefault="00AB2F20" w:rsidP="00AB2F20">
      <w:pPr>
        <w:rPr>
          <w:b/>
        </w:rPr>
      </w:pPr>
      <w:r>
        <w:rPr>
          <w:b/>
        </w:rPr>
        <w:t xml:space="preserve">REQUIREMENTS:  </w:t>
      </w:r>
      <w:r w:rsidRPr="00F45DC5">
        <w:t>Graduation from a four-year college or university with 30 semester hours of coursework in the physical or biological sciences and two years of exposure in environmental health; or a four year or Master’s degree in environmental health from a program which is accredited by the National Environmental Health Science and Protection Accreditation Council and one year of experience in environmental health.</w:t>
      </w:r>
      <w:r>
        <w:rPr>
          <w:b/>
        </w:rPr>
        <w:t xml:space="preserve">  </w:t>
      </w:r>
    </w:p>
    <w:p w:rsidR="00AB2F20" w:rsidRDefault="00AB2F20" w:rsidP="00AB2F20">
      <w:pPr>
        <w:rPr>
          <w:b/>
        </w:rPr>
      </w:pPr>
    </w:p>
    <w:p w:rsidR="00AB2F20" w:rsidRDefault="00AB2F20" w:rsidP="00AB2F20">
      <w:r w:rsidRPr="006566F2">
        <w:rPr>
          <w:b/>
          <w:highlight w:val="yellow"/>
        </w:rPr>
        <w:t xml:space="preserve">NECESSARY SPECIAL QUALIFICATIONS:  </w:t>
      </w:r>
      <w:r w:rsidRPr="006566F2">
        <w:rPr>
          <w:highlight w:val="yellow"/>
        </w:rPr>
        <w:t xml:space="preserve">Registered as an Environmental Health Specialist by the NC State Board of Environmental Health Specialist Examiners.  Must be authorized in onsite with the State of North Carolina.  </w:t>
      </w:r>
    </w:p>
    <w:p w:rsidR="00AB2F20" w:rsidRDefault="00AB2F20" w:rsidP="00AB2F20"/>
    <w:p w:rsidR="00AB2F20" w:rsidRPr="000F21FE" w:rsidRDefault="00AB2F20" w:rsidP="00AB2F20">
      <w:pPr>
        <w:rPr>
          <w:b/>
        </w:rPr>
      </w:pPr>
      <w:r>
        <w:rPr>
          <w:b/>
        </w:rPr>
        <w:t>Hiring</w:t>
      </w:r>
      <w:r w:rsidRPr="000F21FE">
        <w:rPr>
          <w:b/>
        </w:rPr>
        <w:t xml:space="preserve"> range:</w:t>
      </w:r>
      <w:r>
        <w:rPr>
          <w:b/>
        </w:rPr>
        <w:t xml:space="preserve">  </w:t>
      </w:r>
      <w:r>
        <w:rPr>
          <w:highlight w:val="yellow"/>
        </w:rPr>
        <w:t>$36,000</w:t>
      </w:r>
      <w:r w:rsidRPr="000F21FE">
        <w:rPr>
          <w:highlight w:val="yellow"/>
        </w:rPr>
        <w:t>-</w:t>
      </w:r>
      <w:r>
        <w:rPr>
          <w:highlight w:val="yellow"/>
        </w:rPr>
        <w:t>$</w:t>
      </w:r>
      <w:r w:rsidRPr="000F21FE">
        <w:rPr>
          <w:highlight w:val="yellow"/>
        </w:rPr>
        <w:t>69,159</w:t>
      </w:r>
    </w:p>
    <w:p w:rsidR="00AB2F20" w:rsidRDefault="00AB2F20" w:rsidP="00AB2F20">
      <w:pPr>
        <w:rPr>
          <w:b/>
        </w:rPr>
      </w:pPr>
    </w:p>
    <w:p w:rsidR="00AB2F20" w:rsidRPr="0066122B" w:rsidRDefault="00AB2F20" w:rsidP="00AB2F20">
      <w:r>
        <w:rPr>
          <w:b/>
        </w:rPr>
        <w:t xml:space="preserve">Other Requirements: </w:t>
      </w:r>
      <w:r>
        <w:t xml:space="preserve">Possess a valid North Carolina Driver’s License.  </w:t>
      </w:r>
    </w:p>
    <w:p w:rsidR="00AB2F20" w:rsidRDefault="00AB2F20" w:rsidP="00AB2F20">
      <w:r w:rsidRPr="00F45DC5">
        <w:t xml:space="preserve">Pre-employment drug screening and background checks are required for finalist applicants. </w:t>
      </w:r>
    </w:p>
    <w:p w:rsidR="00AB2F20" w:rsidRPr="00F45DC5" w:rsidRDefault="00AB2F20" w:rsidP="00AB2F20"/>
    <w:p w:rsidR="00AB2F20" w:rsidRDefault="00AB2F20" w:rsidP="00AB2F20">
      <w:pPr>
        <w:rPr>
          <w:b/>
        </w:rPr>
      </w:pPr>
      <w:r>
        <w:rPr>
          <w:b/>
        </w:rPr>
        <w:t>Deadline:  Open until filled</w:t>
      </w:r>
    </w:p>
    <w:p w:rsidR="00AB2F20" w:rsidRDefault="00AB2F20" w:rsidP="00AB2F20">
      <w:pPr>
        <w:rPr>
          <w:b/>
        </w:rPr>
      </w:pPr>
    </w:p>
    <w:p w:rsidR="00AB2F20" w:rsidRDefault="00AB2F20" w:rsidP="00AB2F20">
      <w:pPr>
        <w:rPr>
          <w:b/>
        </w:rPr>
      </w:pPr>
      <w:r>
        <w:rPr>
          <w:b/>
        </w:rPr>
        <w:t>Please submit NC State Application to:</w:t>
      </w:r>
    </w:p>
    <w:p w:rsidR="00AB2F20" w:rsidRDefault="00AB2F20" w:rsidP="00AB2F20">
      <w:pPr>
        <w:rPr>
          <w:b/>
        </w:rPr>
      </w:pPr>
      <w:r>
        <w:rPr>
          <w:b/>
        </w:rPr>
        <w:t>Toe River Health District</w:t>
      </w:r>
    </w:p>
    <w:p w:rsidR="00AB2F20" w:rsidRDefault="00AB2F20" w:rsidP="00AB2F20">
      <w:pPr>
        <w:rPr>
          <w:b/>
        </w:rPr>
      </w:pPr>
      <w:r>
        <w:rPr>
          <w:b/>
        </w:rPr>
        <w:t xml:space="preserve">Attn: Betty McKinney Finance Officer </w:t>
      </w:r>
    </w:p>
    <w:p w:rsidR="00AB2F20" w:rsidRDefault="00AB2F20" w:rsidP="00AB2F20">
      <w:pPr>
        <w:rPr>
          <w:b/>
        </w:rPr>
      </w:pPr>
      <w:r>
        <w:rPr>
          <w:b/>
        </w:rPr>
        <w:t>130 Forest Service Road, Suite D</w:t>
      </w:r>
    </w:p>
    <w:p w:rsidR="00AB2F20" w:rsidRDefault="00AB2F20" w:rsidP="00AB2F20">
      <w:pPr>
        <w:rPr>
          <w:b/>
        </w:rPr>
      </w:pPr>
      <w:proofErr w:type="spellStart"/>
      <w:r>
        <w:rPr>
          <w:b/>
        </w:rPr>
        <w:t>Bakersville</w:t>
      </w:r>
      <w:proofErr w:type="spellEnd"/>
      <w:r>
        <w:rPr>
          <w:b/>
        </w:rPr>
        <w:t>, NC 28705</w:t>
      </w:r>
    </w:p>
    <w:p w:rsidR="00565747" w:rsidRDefault="00565747" w:rsidP="00AB2F20">
      <w:pPr>
        <w:rPr>
          <w:b/>
        </w:rPr>
      </w:pPr>
    </w:p>
    <w:p w:rsidR="00565747" w:rsidRDefault="00565747" w:rsidP="00AB2F20">
      <w:pPr>
        <w:rPr>
          <w:b/>
        </w:rPr>
      </w:pPr>
      <w:r>
        <w:rPr>
          <w:b/>
        </w:rPr>
        <w:t>Or email NC State Application to:</w:t>
      </w:r>
    </w:p>
    <w:p w:rsidR="00565747" w:rsidRDefault="00565747" w:rsidP="00AB2F20">
      <w:pPr>
        <w:rPr>
          <w:b/>
        </w:rPr>
      </w:pPr>
      <w:r>
        <w:rPr>
          <w:b/>
        </w:rPr>
        <w:t xml:space="preserve">Diane Creek, Health Director- </w:t>
      </w:r>
      <w:hyperlink r:id="rId9" w:history="1">
        <w:r w:rsidRPr="00A95CC8">
          <w:rPr>
            <w:rStyle w:val="Hyperlink"/>
            <w:b/>
          </w:rPr>
          <w:t>diane.creek@toeriverhealth.org</w:t>
        </w:r>
      </w:hyperlink>
    </w:p>
    <w:p w:rsidR="00565747" w:rsidRPr="00512C6F" w:rsidRDefault="00565747" w:rsidP="00AB2F20">
      <w:pPr>
        <w:rPr>
          <w:b/>
        </w:rPr>
      </w:pPr>
    </w:p>
    <w:p w:rsidR="00B46F0B" w:rsidRDefault="00B46F0B" w:rsidP="005903F5">
      <w:pPr>
        <w:ind w:left="90"/>
      </w:pPr>
    </w:p>
    <w:sectPr w:rsidR="00B46F0B" w:rsidSect="00EE6C9A">
      <w:headerReference w:type="default" r:id="rId10"/>
      <w:footerReference w:type="default" r:id="rId11"/>
      <w:pgSz w:w="12240" w:h="15840"/>
      <w:pgMar w:top="570" w:right="1080" w:bottom="720" w:left="1080" w:header="27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321" w:rsidRDefault="00545321" w:rsidP="00B25012">
      <w:r>
        <w:separator/>
      </w:r>
    </w:p>
  </w:endnote>
  <w:endnote w:type="continuationSeparator" w:id="0">
    <w:p w:rsidR="00545321" w:rsidRDefault="00545321" w:rsidP="00B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ckThinSmallGap" w:sz="12" w:space="0" w:color="17365D"/>
      </w:tblBorders>
      <w:tblLook w:val="04A0" w:firstRow="1" w:lastRow="0" w:firstColumn="1" w:lastColumn="0" w:noHBand="0" w:noVBand="1"/>
    </w:tblPr>
    <w:tblGrid>
      <w:gridCol w:w="610"/>
      <w:gridCol w:w="8861"/>
      <w:gridCol w:w="609"/>
    </w:tblGrid>
    <w:tr w:rsidR="00981F00" w:rsidTr="0018530A">
      <w:trPr>
        <w:trHeight w:val="17"/>
      </w:trPr>
      <w:tc>
        <w:tcPr>
          <w:tcW w:w="11016" w:type="dxa"/>
          <w:gridSpan w:val="3"/>
          <w:tcBorders>
            <w:top w:val="thinThickSmallGap" w:sz="18" w:space="0" w:color="365F91"/>
          </w:tcBorders>
        </w:tcPr>
        <w:p w:rsidR="00981F00" w:rsidRPr="00367EE6" w:rsidRDefault="00981F00">
          <w:pPr>
            <w:pStyle w:val="Footer"/>
            <w:rPr>
              <w:sz w:val="6"/>
              <w:szCs w:val="6"/>
            </w:rPr>
          </w:pPr>
        </w:p>
      </w:tc>
    </w:tr>
    <w:tr w:rsidR="00015BAB" w:rsidTr="00F363CC">
      <w:tc>
        <w:tcPr>
          <w:tcW w:w="648" w:type="dxa"/>
          <w:tcBorders>
            <w:top w:val="nil"/>
          </w:tcBorders>
        </w:tcPr>
        <w:p w:rsidR="00015BAB" w:rsidRDefault="00015BAB">
          <w:pPr>
            <w:pStyle w:val="Footer"/>
            <w:rPr>
              <w:rFonts w:ascii="Verdana" w:hAnsi="Verdana"/>
              <w:sz w:val="20"/>
              <w:szCs w:val="20"/>
            </w:rPr>
          </w:pPr>
        </w:p>
        <w:p w:rsidR="00981F00" w:rsidRPr="00015BAB" w:rsidRDefault="00981F00" w:rsidP="00015BAB"/>
      </w:tc>
      <w:tc>
        <w:tcPr>
          <w:tcW w:w="9720" w:type="dxa"/>
          <w:tcBorders>
            <w:top w:val="nil"/>
          </w:tcBorders>
        </w:tcPr>
        <w:p w:rsidR="00981F00" w:rsidRPr="00EE6C9A" w:rsidRDefault="00981F00" w:rsidP="00AB2F20">
          <w:pPr>
            <w:pStyle w:val="Footer"/>
            <w:rPr>
              <w:rFonts w:ascii="Maiandra GD" w:hAnsi="Maiandra GD"/>
              <w:i/>
              <w:sz w:val="20"/>
              <w:szCs w:val="20"/>
            </w:rPr>
          </w:pPr>
        </w:p>
      </w:tc>
      <w:tc>
        <w:tcPr>
          <w:tcW w:w="648" w:type="dxa"/>
          <w:tcBorders>
            <w:top w:val="nil"/>
          </w:tcBorders>
        </w:tcPr>
        <w:p w:rsidR="00981F00" w:rsidRDefault="00981F00">
          <w:pPr>
            <w:pStyle w:val="Footer"/>
          </w:pPr>
        </w:p>
      </w:tc>
    </w:tr>
  </w:tbl>
  <w:p w:rsidR="00B25012" w:rsidRDefault="00B250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321" w:rsidRDefault="00545321" w:rsidP="00B25012">
      <w:r>
        <w:separator/>
      </w:r>
    </w:p>
  </w:footnote>
  <w:footnote w:type="continuationSeparator" w:id="0">
    <w:p w:rsidR="00545321" w:rsidRDefault="00545321" w:rsidP="00B25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98" w:type="dxa"/>
      <w:tblBorders>
        <w:bottom w:val="thickThinSmallGap" w:sz="12" w:space="0" w:color="1F497D"/>
      </w:tblBorders>
      <w:tblLook w:val="04A0" w:firstRow="1" w:lastRow="0" w:firstColumn="1" w:lastColumn="0" w:noHBand="0" w:noVBand="1"/>
    </w:tblPr>
    <w:tblGrid>
      <w:gridCol w:w="2818"/>
      <w:gridCol w:w="4613"/>
      <w:gridCol w:w="2451"/>
    </w:tblGrid>
    <w:tr w:rsidR="00B25012" w:rsidRPr="00773087" w:rsidTr="00F363CC">
      <w:trPr>
        <w:trHeight w:val="1160"/>
      </w:trPr>
      <w:tc>
        <w:tcPr>
          <w:tcW w:w="2844" w:type="dxa"/>
        </w:tcPr>
        <w:p w:rsidR="00B25012" w:rsidRPr="00773087" w:rsidRDefault="0055123E" w:rsidP="00A5784E">
          <w:pPr>
            <w:jc w:val="center"/>
          </w:pPr>
          <w:r>
            <w:rPr>
              <w:noProof/>
            </w:rPr>
            <w:drawing>
              <wp:anchor distT="0" distB="0" distL="114300" distR="114300" simplePos="0" relativeHeight="251636736" behindDoc="1" locked="0" layoutInCell="1" allowOverlap="1">
                <wp:simplePos x="0" y="0"/>
                <wp:positionH relativeFrom="column">
                  <wp:posOffset>255270</wp:posOffset>
                </wp:positionH>
                <wp:positionV relativeFrom="paragraph">
                  <wp:posOffset>184150</wp:posOffset>
                </wp:positionV>
                <wp:extent cx="1114425" cy="476250"/>
                <wp:effectExtent l="19050" t="0" r="9525" b="0"/>
                <wp:wrapTight wrapText="bothSides">
                  <wp:wrapPolygon edited="0">
                    <wp:start x="2215" y="0"/>
                    <wp:lineTo x="-369" y="6048"/>
                    <wp:lineTo x="-369" y="19008"/>
                    <wp:lineTo x="1108" y="20736"/>
                    <wp:lineTo x="4800" y="20736"/>
                    <wp:lineTo x="18092" y="20736"/>
                    <wp:lineTo x="20308" y="20736"/>
                    <wp:lineTo x="21785" y="18144"/>
                    <wp:lineTo x="21785" y="6048"/>
                    <wp:lineTo x="19938" y="1728"/>
                    <wp:lineTo x="15508" y="0"/>
                    <wp:lineTo x="2215" y="0"/>
                  </wp:wrapPolygon>
                </wp:wrapTight>
                <wp:docPr id="34" name="Picture 1" descr="C:\Documents and Settings\jesse.greene\My Pictures\TRH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sse.greene\My Pictures\TRHDLogo.gif"/>
                        <pic:cNvPicPr>
                          <a:picLocks noChangeAspect="1" noChangeArrowheads="1"/>
                        </pic:cNvPicPr>
                      </pic:nvPicPr>
                      <pic:blipFill>
                        <a:blip r:embed="rId1"/>
                        <a:srcRect/>
                        <a:stretch>
                          <a:fillRect/>
                        </a:stretch>
                      </pic:blipFill>
                      <pic:spPr bwMode="auto">
                        <a:xfrm>
                          <a:off x="0" y="0"/>
                          <a:ext cx="1114425" cy="476250"/>
                        </a:xfrm>
                        <a:prstGeom prst="rect">
                          <a:avLst/>
                        </a:prstGeom>
                        <a:noFill/>
                        <a:ln w="9525">
                          <a:noFill/>
                          <a:miter lim="800000"/>
                          <a:headEnd/>
                          <a:tailEnd/>
                        </a:ln>
                      </pic:spPr>
                    </pic:pic>
                  </a:graphicData>
                </a:graphic>
              </wp:anchor>
            </w:drawing>
          </w:r>
        </w:p>
      </w:tc>
      <w:tc>
        <w:tcPr>
          <w:tcW w:w="4713" w:type="dxa"/>
          <w:vAlign w:val="center"/>
        </w:tcPr>
        <w:p w:rsidR="00B25012" w:rsidRPr="00773087" w:rsidRDefault="00B25012" w:rsidP="00A5784E">
          <w:pPr>
            <w:jc w:val="center"/>
            <w:rPr>
              <w:rFonts w:ascii="Verdana" w:hAnsi="Verdana"/>
              <w:b/>
            </w:rPr>
          </w:pPr>
          <w:r w:rsidRPr="00773087">
            <w:rPr>
              <w:rFonts w:ascii="Verdana" w:hAnsi="Verdana"/>
              <w:b/>
            </w:rPr>
            <w:t>TOE RIVER HEALTH DISTRICT</w:t>
          </w:r>
        </w:p>
        <w:p w:rsidR="00B25012" w:rsidRPr="00773087" w:rsidRDefault="00B25012" w:rsidP="00A5784E">
          <w:pPr>
            <w:jc w:val="center"/>
            <w:rPr>
              <w:rFonts w:ascii="Verdana" w:hAnsi="Verdana"/>
              <w:b/>
              <w:sz w:val="18"/>
              <w:szCs w:val="18"/>
            </w:rPr>
          </w:pPr>
          <w:r w:rsidRPr="00773087">
            <w:rPr>
              <w:rFonts w:ascii="Verdana" w:hAnsi="Verdana"/>
              <w:b/>
              <w:sz w:val="18"/>
              <w:szCs w:val="18"/>
            </w:rPr>
            <w:t>Avery, Mitchell, &amp; Yancey County</w:t>
          </w:r>
        </w:p>
        <w:p w:rsidR="00B25012" w:rsidRPr="00773087" w:rsidRDefault="00B25012" w:rsidP="00A5784E">
          <w:pPr>
            <w:jc w:val="center"/>
          </w:pPr>
          <w:r w:rsidRPr="00773087">
            <w:rPr>
              <w:rFonts w:ascii="Verdana" w:hAnsi="Verdana"/>
              <w:b/>
              <w:sz w:val="18"/>
              <w:szCs w:val="18"/>
            </w:rPr>
            <w:t>Health Departments</w:t>
          </w:r>
        </w:p>
      </w:tc>
      <w:tc>
        <w:tcPr>
          <w:tcW w:w="2523" w:type="dxa"/>
        </w:tcPr>
        <w:p w:rsidR="00B25012" w:rsidRPr="00773087" w:rsidRDefault="0055123E" w:rsidP="00A5784E">
          <w:r>
            <w:rPr>
              <w:noProof/>
            </w:rPr>
            <w:drawing>
              <wp:anchor distT="0" distB="0" distL="114300" distR="114300" simplePos="0" relativeHeight="251682816" behindDoc="0" locked="0" layoutInCell="1" allowOverlap="1">
                <wp:simplePos x="0" y="0"/>
                <wp:positionH relativeFrom="column">
                  <wp:posOffset>455295</wp:posOffset>
                </wp:positionH>
                <wp:positionV relativeFrom="paragraph">
                  <wp:posOffset>107950</wp:posOffset>
                </wp:positionV>
                <wp:extent cx="546100" cy="590550"/>
                <wp:effectExtent l="19050" t="0" r="6350" b="0"/>
                <wp:wrapNone/>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4610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0" locked="0" layoutInCell="1" allowOverlap="1">
                <wp:simplePos x="0" y="0"/>
                <wp:positionH relativeFrom="column">
                  <wp:posOffset>6372225</wp:posOffset>
                </wp:positionH>
                <wp:positionV relativeFrom="paragraph">
                  <wp:posOffset>209550</wp:posOffset>
                </wp:positionV>
                <wp:extent cx="695325" cy="756285"/>
                <wp:effectExtent l="19050" t="0" r="9525"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95325" cy="756285"/>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0" layoutInCell="1" allowOverlap="1">
                <wp:simplePos x="0" y="0"/>
                <wp:positionH relativeFrom="column">
                  <wp:posOffset>6372225</wp:posOffset>
                </wp:positionH>
                <wp:positionV relativeFrom="paragraph">
                  <wp:posOffset>209550</wp:posOffset>
                </wp:positionV>
                <wp:extent cx="695325" cy="756285"/>
                <wp:effectExtent l="19050" t="0" r="9525" b="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95325" cy="75628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4697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4185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p>
        <w:p w:rsidR="00B25012" w:rsidRPr="00773087" w:rsidRDefault="00B25012" w:rsidP="00A5784E"/>
        <w:p w:rsidR="00B25012" w:rsidRPr="00773087" w:rsidRDefault="00B25012" w:rsidP="00A5784E"/>
        <w:p w:rsidR="00B25012" w:rsidRPr="00773087" w:rsidRDefault="00B25012" w:rsidP="00A5784E">
          <w:pPr>
            <w:tabs>
              <w:tab w:val="left" w:pos="2205"/>
            </w:tabs>
            <w:jc w:val="center"/>
          </w:pPr>
        </w:p>
      </w:tc>
    </w:tr>
  </w:tbl>
  <w:p w:rsidR="00B25012" w:rsidRPr="00447C60" w:rsidRDefault="00B25012" w:rsidP="00B25012">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AB"/>
    <w:rsid w:val="00015BAB"/>
    <w:rsid w:val="00053EFA"/>
    <w:rsid w:val="000B4173"/>
    <w:rsid w:val="000E42F1"/>
    <w:rsid w:val="0012330D"/>
    <w:rsid w:val="001417A8"/>
    <w:rsid w:val="00165413"/>
    <w:rsid w:val="0018530A"/>
    <w:rsid w:val="001B4963"/>
    <w:rsid w:val="00237D3A"/>
    <w:rsid w:val="0027369A"/>
    <w:rsid w:val="00293DFD"/>
    <w:rsid w:val="002D6857"/>
    <w:rsid w:val="0031691C"/>
    <w:rsid w:val="00367EE6"/>
    <w:rsid w:val="003A405A"/>
    <w:rsid w:val="00401D3A"/>
    <w:rsid w:val="00447C60"/>
    <w:rsid w:val="00505B44"/>
    <w:rsid w:val="00545321"/>
    <w:rsid w:val="00550EA3"/>
    <w:rsid w:val="0055123E"/>
    <w:rsid w:val="005512EB"/>
    <w:rsid w:val="00565747"/>
    <w:rsid w:val="005903F5"/>
    <w:rsid w:val="005E4A61"/>
    <w:rsid w:val="005E6C50"/>
    <w:rsid w:val="00623882"/>
    <w:rsid w:val="00690943"/>
    <w:rsid w:val="006A16E2"/>
    <w:rsid w:val="006E0C12"/>
    <w:rsid w:val="007158A1"/>
    <w:rsid w:val="00773087"/>
    <w:rsid w:val="0081543A"/>
    <w:rsid w:val="0083167F"/>
    <w:rsid w:val="0086221C"/>
    <w:rsid w:val="008931E4"/>
    <w:rsid w:val="009516E9"/>
    <w:rsid w:val="00981F00"/>
    <w:rsid w:val="00A029E3"/>
    <w:rsid w:val="00A5784E"/>
    <w:rsid w:val="00A97B70"/>
    <w:rsid w:val="00AB2F20"/>
    <w:rsid w:val="00B25012"/>
    <w:rsid w:val="00B46F0B"/>
    <w:rsid w:val="00B70237"/>
    <w:rsid w:val="00BC70CC"/>
    <w:rsid w:val="00BE32E0"/>
    <w:rsid w:val="00BF2971"/>
    <w:rsid w:val="00C2224A"/>
    <w:rsid w:val="00D24E5C"/>
    <w:rsid w:val="00D8214B"/>
    <w:rsid w:val="00DB35E5"/>
    <w:rsid w:val="00ED6582"/>
    <w:rsid w:val="00EE6C9A"/>
    <w:rsid w:val="00F363CC"/>
    <w:rsid w:val="00F777BD"/>
    <w:rsid w:val="00FA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C3C3"/>
  <w15:docId w15:val="{CE94105C-DD99-4D2D-83E3-ECE9AB8C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D3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B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25012"/>
    <w:pPr>
      <w:tabs>
        <w:tab w:val="center" w:pos="4680"/>
        <w:tab w:val="right" w:pos="9360"/>
      </w:tabs>
      <w:spacing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B25012"/>
    <w:rPr>
      <w:sz w:val="22"/>
      <w:szCs w:val="22"/>
    </w:rPr>
  </w:style>
  <w:style w:type="paragraph" w:styleId="Footer">
    <w:name w:val="footer"/>
    <w:basedOn w:val="Normal"/>
    <w:link w:val="FooterChar"/>
    <w:uiPriority w:val="99"/>
    <w:unhideWhenUsed/>
    <w:rsid w:val="00B25012"/>
    <w:pPr>
      <w:tabs>
        <w:tab w:val="center" w:pos="4680"/>
        <w:tab w:val="right" w:pos="9360"/>
      </w:tabs>
      <w:spacing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B25012"/>
    <w:rPr>
      <w:sz w:val="22"/>
      <w:szCs w:val="22"/>
    </w:rPr>
  </w:style>
  <w:style w:type="character" w:styleId="Hyperlink">
    <w:name w:val="Hyperlink"/>
    <w:basedOn w:val="DefaultParagraphFont"/>
    <w:uiPriority w:val="99"/>
    <w:unhideWhenUsed/>
    <w:rsid w:val="00AB2F20"/>
    <w:rPr>
      <w:color w:val="0000FF" w:themeColor="hyperlink"/>
      <w:u w:val="single"/>
    </w:rPr>
  </w:style>
  <w:style w:type="character" w:styleId="FollowedHyperlink">
    <w:name w:val="FollowedHyperlink"/>
    <w:basedOn w:val="DefaultParagraphFont"/>
    <w:uiPriority w:val="99"/>
    <w:semiHidden/>
    <w:unhideWhenUsed/>
    <w:rsid w:val="00AB2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loreboone.com/?utm_source=www.visitnc.com&amp;utm_medium=referral&amp;utm_campaign=downstrea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xploreashevill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sitjohnsoncityt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iane.creek@toeriverhealth.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creek\Documents\Forms\TRH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TRHD Letterhead Template</Template>
  <TotalTime>11</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Creek</dc:creator>
  <cp:lastModifiedBy>Diane Creek</cp:lastModifiedBy>
  <cp:revision>5</cp:revision>
  <dcterms:created xsi:type="dcterms:W3CDTF">2018-12-11T20:18:00Z</dcterms:created>
  <dcterms:modified xsi:type="dcterms:W3CDTF">2019-01-04T02:25:00Z</dcterms:modified>
</cp:coreProperties>
</file>