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C6" w:rsidRDefault="005033C6" w:rsidP="005033C6">
      <w:pPr>
        <w:jc w:val="center"/>
      </w:pPr>
    </w:p>
    <w:p w:rsidR="00B757F3" w:rsidRPr="00337139" w:rsidRDefault="00B757F3" w:rsidP="00B757F3">
      <w:pPr>
        <w:numPr>
          <w:ilvl w:val="0"/>
          <w:numId w:val="5"/>
        </w:numPr>
        <w:jc w:val="center"/>
        <w:rPr>
          <w:rFonts w:ascii="Baskerville Old Face" w:hAnsi="Baskerville Old Face"/>
          <w:b/>
          <w:sz w:val="32"/>
        </w:rPr>
      </w:pPr>
      <w:r>
        <w:rPr>
          <w:rFonts w:ascii="Baskerville Old Face" w:hAnsi="Baskerville Old Face"/>
          <w:b/>
          <w:sz w:val="32"/>
        </w:rPr>
        <w:t xml:space="preserve">EMPLOYMENT OPPORTUNITY - </w:t>
      </w:r>
    </w:p>
    <w:p w:rsidR="00B757F3" w:rsidRDefault="00B757F3" w:rsidP="00B757F3">
      <w:pPr>
        <w:jc w:val="center"/>
        <w:rPr>
          <w:rFonts w:ascii="Baskerville Old Face" w:hAnsi="Baskerville Old Face"/>
          <w:b/>
          <w:i/>
        </w:rPr>
      </w:pPr>
      <w:r w:rsidRPr="00337139">
        <w:rPr>
          <w:rFonts w:ascii="Baskerville Old Face" w:hAnsi="Baskerville Old Face"/>
          <w:b/>
          <w:i/>
        </w:rPr>
        <w:t>Please post this employment opportunity where all employees have access.</w:t>
      </w:r>
    </w:p>
    <w:p w:rsidR="00B757F3" w:rsidRDefault="00B757F3" w:rsidP="00B757F3">
      <w:pPr>
        <w:jc w:val="center"/>
        <w:rPr>
          <w:rFonts w:ascii="Baskerville Old Face" w:hAnsi="Baskerville Old Face"/>
          <w:i/>
          <w:sz w:val="12"/>
        </w:rPr>
      </w:pPr>
    </w:p>
    <w:p w:rsidR="00392CDA" w:rsidRPr="00337139" w:rsidRDefault="00392CDA" w:rsidP="00B757F3">
      <w:pPr>
        <w:jc w:val="center"/>
        <w:rPr>
          <w:rFonts w:ascii="Baskerville Old Face" w:hAnsi="Baskerville Old Face"/>
          <w:i/>
          <w:sz w:val="12"/>
        </w:rPr>
      </w:pPr>
    </w:p>
    <w:tbl>
      <w:tblPr>
        <w:tblW w:w="9540" w:type="dxa"/>
        <w:tblInd w:w="108" w:type="dxa"/>
        <w:tblLook w:val="04A0" w:firstRow="1" w:lastRow="0" w:firstColumn="1" w:lastColumn="0" w:noHBand="0" w:noVBand="1"/>
      </w:tblPr>
      <w:tblGrid>
        <w:gridCol w:w="1887"/>
        <w:gridCol w:w="7653"/>
      </w:tblGrid>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Position:</w:t>
            </w:r>
          </w:p>
        </w:tc>
        <w:tc>
          <w:tcPr>
            <w:tcW w:w="7653" w:type="dxa"/>
            <w:shd w:val="clear" w:color="auto" w:fill="auto"/>
          </w:tcPr>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Registered Environmental Health Specialist</w:t>
            </w:r>
          </w:p>
          <w:p w:rsidR="00392CDA" w:rsidRPr="002A367C" w:rsidRDefault="00392CDA" w:rsidP="00102F5C">
            <w:pPr>
              <w:jc w:val="both"/>
              <w:rPr>
                <w:rFonts w:ascii="Baskerville Old Face" w:eastAsia="Calibri" w:hAnsi="Baskerville Old Face"/>
                <w:i/>
                <w:sz w:val="22"/>
                <w:szCs w:val="22"/>
              </w:rPr>
            </w:pPr>
            <w:r w:rsidRPr="002A367C">
              <w:rPr>
                <w:rFonts w:ascii="Baskerville Old Face" w:eastAsia="Calibri" w:hAnsi="Baskerville Old Face"/>
                <w:i/>
                <w:sz w:val="22"/>
                <w:szCs w:val="22"/>
              </w:rPr>
              <w:t>Permanent,  Full-Time</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jc w:val="both"/>
              <w:rPr>
                <w:rFonts w:ascii="Baskerville Old Face" w:eastAsia="Calibri" w:hAnsi="Baskerville Old Face"/>
                <w:b/>
                <w:sz w:val="22"/>
                <w:szCs w:val="22"/>
              </w:rPr>
            </w:pP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Department:</w:t>
            </w:r>
          </w:p>
        </w:tc>
        <w:tc>
          <w:tcPr>
            <w:tcW w:w="7653" w:type="dxa"/>
            <w:shd w:val="clear" w:color="auto" w:fill="auto"/>
          </w:tcPr>
          <w:p w:rsidR="00392CDA" w:rsidRPr="002A367C" w:rsidRDefault="00392CDA" w:rsidP="00102F5C">
            <w:pPr>
              <w:rPr>
                <w:rFonts w:ascii="Baskerville Old Face" w:eastAsia="Calibri" w:hAnsi="Baskerville Old Face"/>
                <w:sz w:val="22"/>
                <w:szCs w:val="22"/>
              </w:rPr>
            </w:pPr>
            <w:r w:rsidRPr="002A367C">
              <w:rPr>
                <w:rFonts w:ascii="Baskerville Old Face" w:eastAsia="Calibri" w:hAnsi="Baskerville Old Face"/>
                <w:sz w:val="22"/>
                <w:szCs w:val="22"/>
              </w:rPr>
              <w:t>Health Department</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rPr>
                <w:rFonts w:ascii="Baskerville Old Face" w:eastAsia="Calibri" w:hAnsi="Baskerville Old Face"/>
                <w:sz w:val="22"/>
                <w:szCs w:val="22"/>
              </w:rPr>
            </w:pP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Description of Duties &amp; Responsibilities:</w:t>
            </w:r>
          </w:p>
        </w:tc>
        <w:tc>
          <w:tcPr>
            <w:tcW w:w="7653" w:type="dxa"/>
            <w:shd w:val="clear" w:color="auto" w:fill="auto"/>
          </w:tcPr>
          <w:p w:rsidR="00392CDA" w:rsidRPr="002A367C" w:rsidRDefault="00392CDA" w:rsidP="00102F5C">
            <w:pPr>
              <w:rPr>
                <w:rFonts w:ascii="Baskerville Old Face" w:eastAsia="Calibri" w:hAnsi="Baskerville Old Face"/>
                <w:i/>
                <w:sz w:val="22"/>
                <w:szCs w:val="22"/>
              </w:rPr>
            </w:pPr>
            <w:r w:rsidRPr="002A367C">
              <w:rPr>
                <w:rFonts w:ascii="Baskerville Old Face" w:hAnsi="Baskerville Old Face"/>
                <w:sz w:val="22"/>
                <w:szCs w:val="22"/>
              </w:rPr>
              <w:t>The primary purpose of the position is enforcing the N.C. Environmental Health laws and regulations.  The primary focus of this position will be in the Food, Lodging, and Institutions Program. This position includes the unannounced routine inspections of all food, lodging, child care sanitation program, and institutional facilities included under the jurisdiction of the Jackson County Department of Public Health.  This position inspects private water supplies as well as assures the safety and operation of public swimming pools and tattoo enforcement. Inspection and approval of individual sewage disposal systems are also the responsibility of this position.  All qualifying candidates will be considered for this position.</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jc w:val="both"/>
              <w:rPr>
                <w:rFonts w:ascii="Baskerville Old Face" w:eastAsia="Calibri" w:hAnsi="Baskerville Old Face"/>
                <w:b/>
                <w:sz w:val="22"/>
                <w:szCs w:val="22"/>
              </w:rPr>
            </w:pP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Education &amp; Experience Requirements:</w:t>
            </w:r>
          </w:p>
        </w:tc>
        <w:tc>
          <w:tcPr>
            <w:tcW w:w="7653" w:type="dxa"/>
            <w:shd w:val="clear" w:color="auto" w:fill="auto"/>
          </w:tcPr>
          <w:p w:rsidR="00392CDA" w:rsidRPr="002A367C" w:rsidRDefault="00392CDA" w:rsidP="00102F5C">
            <w:pPr>
              <w:rPr>
                <w:rFonts w:ascii="Baskerville Old Face" w:eastAsia="Calibri" w:hAnsi="Baskerville Old Face"/>
                <w:sz w:val="22"/>
                <w:szCs w:val="22"/>
              </w:rPr>
            </w:pPr>
            <w:r w:rsidRPr="002A367C">
              <w:rPr>
                <w:rFonts w:ascii="Baskerville Old Face" w:hAnsi="Baskerville Old Face"/>
                <w:bCs/>
                <w:sz w:val="22"/>
                <w:szCs w:val="22"/>
              </w:rPr>
              <w:t>Required Minimum Training</w:t>
            </w:r>
            <w:r w:rsidRPr="002A367C">
              <w:rPr>
                <w:rFonts w:ascii="Baskerville Old Face" w:hAnsi="Baskerville Old Face"/>
                <w:b/>
                <w:bCs/>
                <w:sz w:val="22"/>
                <w:szCs w:val="22"/>
              </w:rPr>
              <w:t xml:space="preserve">: </w:t>
            </w:r>
            <w:r w:rsidRPr="002A367C">
              <w:rPr>
                <w:rFonts w:ascii="Baskerville Old Face" w:hAnsi="Baskerville Old Face"/>
                <w:sz w:val="22"/>
                <w:szCs w:val="22"/>
              </w:rPr>
              <w:t>Baccalaureate degree from a post-secondary educational institution with a minimum of 30 semester hours in the physical and/or biological science.  Required to be licensed as a Registered Sanitarian by the N.C. Board of Sanitarian Examiners.  Preference given to individuals already registered however, interns will be considered for position. Trainee and Work Against Applications will be accepted.</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jc w:val="both"/>
              <w:rPr>
                <w:rFonts w:ascii="Baskerville Old Face" w:eastAsia="Calibri" w:hAnsi="Baskerville Old Face"/>
                <w:b/>
                <w:sz w:val="22"/>
                <w:szCs w:val="22"/>
              </w:rPr>
            </w:pPr>
          </w:p>
        </w:tc>
      </w:tr>
      <w:tr w:rsidR="00392CDA" w:rsidRPr="002A367C" w:rsidTr="00102F5C">
        <w:trPr>
          <w:trHeight w:val="135"/>
        </w:trPr>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Starting Salary:</w:t>
            </w:r>
          </w:p>
        </w:tc>
        <w:tc>
          <w:tcPr>
            <w:tcW w:w="7653" w:type="dxa"/>
            <w:shd w:val="clear" w:color="auto" w:fill="auto"/>
          </w:tcPr>
          <w:p w:rsidR="00392CDA" w:rsidRPr="002A367C" w:rsidRDefault="00392CDA" w:rsidP="00102F5C">
            <w:pPr>
              <w:jc w:val="both"/>
              <w:rPr>
                <w:rFonts w:ascii="Baskerville Old Face" w:eastAsia="Calibri" w:hAnsi="Baskerville Old Face"/>
                <w:sz w:val="22"/>
                <w:szCs w:val="22"/>
              </w:rPr>
            </w:pPr>
            <w:r w:rsidRPr="002A367C">
              <w:rPr>
                <w:rFonts w:ascii="Baskerville Old Face" w:hAnsi="Baskerville Old Face"/>
                <w:sz w:val="22"/>
                <w:szCs w:val="22"/>
              </w:rPr>
              <w:t>Range is: (Gr</w:t>
            </w:r>
            <w:r w:rsidR="006034F3">
              <w:rPr>
                <w:rFonts w:ascii="Baskerville Old Face" w:hAnsi="Baskerville Old Face"/>
                <w:sz w:val="22"/>
                <w:szCs w:val="22"/>
              </w:rPr>
              <w:t>ade 23) $37,439.04 to $44,743.13</w:t>
            </w:r>
            <w:bookmarkStart w:id="0" w:name="_GoBack"/>
            <w:bookmarkEnd w:id="0"/>
            <w:r w:rsidRPr="002A367C">
              <w:rPr>
                <w:rFonts w:ascii="Baskerville Old Face" w:hAnsi="Baskerville Old Face"/>
                <w:sz w:val="22"/>
                <w:szCs w:val="22"/>
              </w:rPr>
              <w:t xml:space="preserve">.  </w:t>
            </w:r>
          </w:p>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 xml:space="preserve">Jackson County provides a robust offering of employee benefits including: employer paid medical and dental benefits, participation in the Local Governmental Employees’ Retirement System, paid leave (vacation, sick, and holiday), Employee Clinic, Wellness program, and supplemental benefit offerings.  A full overview of benefits is available at: </w:t>
            </w:r>
            <w:hyperlink r:id="rId7" w:history="1">
              <w:r w:rsidRPr="002A367C">
                <w:rPr>
                  <w:rStyle w:val="Hyperlink"/>
                  <w:rFonts w:ascii="Baskerville Old Face" w:eastAsia="Calibri" w:hAnsi="Baskerville Old Face"/>
                  <w:sz w:val="22"/>
                  <w:szCs w:val="22"/>
                </w:rPr>
                <w:t>https://www.jacksonnc.org/employment-opportunities</w:t>
              </w:r>
            </w:hyperlink>
            <w:r w:rsidRPr="002A367C">
              <w:rPr>
                <w:rFonts w:ascii="Baskerville Old Face" w:eastAsia="Calibri" w:hAnsi="Baskerville Old Face"/>
                <w:sz w:val="22"/>
                <w:szCs w:val="22"/>
              </w:rPr>
              <w:t xml:space="preserve"> .</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jc w:val="both"/>
              <w:rPr>
                <w:rFonts w:ascii="Baskerville Old Face" w:eastAsia="Calibri" w:hAnsi="Baskerville Old Face"/>
                <w:b/>
                <w:sz w:val="22"/>
                <w:szCs w:val="22"/>
              </w:rPr>
            </w:pP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Application Requirements:</w:t>
            </w:r>
          </w:p>
        </w:tc>
        <w:tc>
          <w:tcPr>
            <w:tcW w:w="7653" w:type="dxa"/>
            <w:shd w:val="clear" w:color="auto" w:fill="auto"/>
          </w:tcPr>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Submit a completed</w:t>
            </w:r>
            <w:r w:rsidR="00E73444">
              <w:rPr>
                <w:rFonts w:ascii="Baskerville Old Face" w:eastAsia="Calibri" w:hAnsi="Baskerville Old Face"/>
                <w:sz w:val="22"/>
                <w:szCs w:val="22"/>
              </w:rPr>
              <w:t xml:space="preserve"> and signed</w:t>
            </w:r>
            <w:r w:rsidRPr="002A367C">
              <w:rPr>
                <w:rFonts w:ascii="Baskerville Old Face" w:eastAsia="Calibri" w:hAnsi="Baskerville Old Face"/>
                <w:sz w:val="22"/>
                <w:szCs w:val="22"/>
              </w:rPr>
              <w:t xml:space="preserve"> State Application (PD 107) to:</w:t>
            </w:r>
          </w:p>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NC Works Career Center</w:t>
            </w:r>
          </w:p>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26 Ridgeway Street, Suite 2</w:t>
            </w:r>
          </w:p>
          <w:p w:rsidR="00392CDA" w:rsidRPr="002A367C" w:rsidRDefault="00392CDA" w:rsidP="00102F5C">
            <w:pPr>
              <w:jc w:val="both"/>
              <w:rPr>
                <w:rFonts w:ascii="Baskerville Old Face" w:eastAsia="Calibri" w:hAnsi="Baskerville Old Face"/>
                <w:sz w:val="22"/>
                <w:szCs w:val="22"/>
              </w:rPr>
            </w:pPr>
            <w:r w:rsidRPr="002A367C">
              <w:rPr>
                <w:rFonts w:ascii="Baskerville Old Face" w:eastAsia="Calibri" w:hAnsi="Baskerville Old Face"/>
                <w:sz w:val="22"/>
                <w:szCs w:val="22"/>
              </w:rPr>
              <w:t>Sylva, NC 28779</w:t>
            </w: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p>
        </w:tc>
        <w:tc>
          <w:tcPr>
            <w:tcW w:w="7653" w:type="dxa"/>
            <w:shd w:val="clear" w:color="auto" w:fill="auto"/>
          </w:tcPr>
          <w:p w:rsidR="00392CDA" w:rsidRPr="002A367C" w:rsidRDefault="00392CDA" w:rsidP="00102F5C">
            <w:pPr>
              <w:jc w:val="both"/>
              <w:rPr>
                <w:rFonts w:ascii="Baskerville Old Face" w:eastAsia="Calibri" w:hAnsi="Baskerville Old Face"/>
                <w:sz w:val="22"/>
                <w:szCs w:val="22"/>
              </w:rPr>
            </w:pPr>
          </w:p>
        </w:tc>
      </w:tr>
      <w:tr w:rsidR="00392CDA" w:rsidRPr="002A367C" w:rsidTr="00102F5C">
        <w:tc>
          <w:tcPr>
            <w:tcW w:w="1887" w:type="dxa"/>
            <w:shd w:val="clear" w:color="auto" w:fill="auto"/>
          </w:tcPr>
          <w:p w:rsidR="00392CDA" w:rsidRPr="002A367C" w:rsidRDefault="00392CDA" w:rsidP="00102F5C">
            <w:pPr>
              <w:rPr>
                <w:rFonts w:ascii="Baskerville Old Face" w:eastAsia="Calibri" w:hAnsi="Baskerville Old Face"/>
                <w:b/>
                <w:sz w:val="22"/>
                <w:szCs w:val="22"/>
              </w:rPr>
            </w:pPr>
            <w:r w:rsidRPr="002A367C">
              <w:rPr>
                <w:rFonts w:ascii="Baskerville Old Face" w:eastAsia="Calibri" w:hAnsi="Baskerville Old Face"/>
                <w:b/>
                <w:sz w:val="22"/>
                <w:szCs w:val="22"/>
              </w:rPr>
              <w:t>Closing Date:</w:t>
            </w:r>
          </w:p>
        </w:tc>
        <w:tc>
          <w:tcPr>
            <w:tcW w:w="7653" w:type="dxa"/>
            <w:shd w:val="clear" w:color="auto" w:fill="auto"/>
          </w:tcPr>
          <w:p w:rsidR="00392CDA" w:rsidRPr="002A367C" w:rsidRDefault="00392CDA" w:rsidP="00392CDA">
            <w:pPr>
              <w:jc w:val="both"/>
              <w:rPr>
                <w:rFonts w:ascii="Baskerville Old Face" w:eastAsia="Calibri" w:hAnsi="Baskerville Old Face"/>
                <w:b/>
                <w:sz w:val="22"/>
                <w:szCs w:val="22"/>
              </w:rPr>
            </w:pPr>
            <w:r w:rsidRPr="002A367C">
              <w:rPr>
                <w:rFonts w:ascii="Baskerville Old Face" w:eastAsia="Calibri" w:hAnsi="Baskerville Old Face"/>
                <w:b/>
                <w:sz w:val="22"/>
                <w:szCs w:val="22"/>
              </w:rPr>
              <w:t xml:space="preserve">Friday, </w:t>
            </w:r>
            <w:r>
              <w:rPr>
                <w:rFonts w:ascii="Baskerville Old Face" w:eastAsia="Calibri" w:hAnsi="Baskerville Old Face"/>
                <w:b/>
                <w:sz w:val="22"/>
                <w:szCs w:val="22"/>
              </w:rPr>
              <w:t xml:space="preserve"> September 13, 2019</w:t>
            </w:r>
            <w:r w:rsidRPr="002A367C">
              <w:rPr>
                <w:rFonts w:ascii="Baskerville Old Face" w:eastAsia="Calibri" w:hAnsi="Baskerville Old Face"/>
                <w:b/>
                <w:sz w:val="22"/>
                <w:szCs w:val="22"/>
              </w:rPr>
              <w:t>.</w:t>
            </w:r>
          </w:p>
        </w:tc>
      </w:tr>
    </w:tbl>
    <w:p w:rsidR="00392CDA" w:rsidRPr="002A367C" w:rsidRDefault="00392CDA" w:rsidP="00392CDA">
      <w:pPr>
        <w:rPr>
          <w:rFonts w:ascii="Baskerville Old Face" w:hAnsi="Baskerville Old Face"/>
          <w:b/>
          <w:sz w:val="22"/>
          <w:szCs w:val="22"/>
        </w:rPr>
      </w:pPr>
    </w:p>
    <w:p w:rsidR="00392CDA" w:rsidRPr="002A367C" w:rsidRDefault="00392CDA" w:rsidP="00392CDA">
      <w:pPr>
        <w:jc w:val="center"/>
        <w:rPr>
          <w:rFonts w:ascii="Baskerville Old Face" w:hAnsi="Baskerville Old Face"/>
          <w:b/>
          <w:sz w:val="22"/>
          <w:szCs w:val="22"/>
        </w:rPr>
      </w:pPr>
      <w:r w:rsidRPr="002A367C">
        <w:rPr>
          <w:rFonts w:ascii="Baskerville Old Face" w:hAnsi="Baskerville Old Face"/>
          <w:b/>
          <w:sz w:val="22"/>
          <w:szCs w:val="22"/>
        </w:rPr>
        <w:t>Jackson County is an Equal Opportunity Employer.</w:t>
      </w:r>
    </w:p>
    <w:p w:rsidR="00392CDA" w:rsidRPr="002A367C" w:rsidRDefault="00392CDA" w:rsidP="00392CDA">
      <w:pPr>
        <w:jc w:val="center"/>
        <w:rPr>
          <w:rFonts w:ascii="Baskerville Old Face" w:hAnsi="Baskerville Old Face"/>
          <w:i/>
          <w:sz w:val="22"/>
          <w:szCs w:val="22"/>
        </w:rPr>
      </w:pPr>
      <w:r w:rsidRPr="002A367C">
        <w:rPr>
          <w:rFonts w:ascii="Baskerville Old Face" w:hAnsi="Baskerville Old Face"/>
          <w:i/>
          <w:sz w:val="22"/>
          <w:szCs w:val="22"/>
        </w:rPr>
        <w:t>Pre-employment drug screen and criminal background checks are required.</w:t>
      </w:r>
    </w:p>
    <w:p w:rsidR="00B757F3" w:rsidRPr="005033C6" w:rsidRDefault="00392CDA" w:rsidP="005033C6">
      <w:pPr>
        <w:jc w:val="center"/>
      </w:pPr>
      <w:r w:rsidRPr="002A367C">
        <w:rPr>
          <w:rFonts w:ascii="Baskerville Old Face" w:hAnsi="Baskerville Old Face"/>
          <w:i/>
          <w:sz w:val="22"/>
          <w:szCs w:val="22"/>
        </w:rPr>
        <w:t xml:space="preserve">Jackson County participates in the federal </w:t>
      </w:r>
      <w:hyperlink r:id="rId8" w:history="1">
        <w:r w:rsidRPr="002A367C">
          <w:rPr>
            <w:rStyle w:val="Hyperlink"/>
            <w:rFonts w:ascii="Baskerville Old Face" w:hAnsi="Baskerville Old Face"/>
            <w:i/>
            <w:sz w:val="22"/>
            <w:szCs w:val="22"/>
          </w:rPr>
          <w:t>E-Verify</w:t>
        </w:r>
      </w:hyperlink>
      <w:r w:rsidRPr="002A367C">
        <w:rPr>
          <w:rFonts w:ascii="Baskerville Old Face" w:hAnsi="Baskerville Old Face"/>
          <w:i/>
          <w:sz w:val="22"/>
          <w:szCs w:val="22"/>
        </w:rPr>
        <w:t xml:space="preserve"> program.</w:t>
      </w:r>
    </w:p>
    <w:sectPr w:rsidR="00B757F3" w:rsidRPr="005033C6" w:rsidSect="001728A0">
      <w:headerReference w:type="even" r:id="rId9"/>
      <w:headerReference w:type="default" r:id="rId10"/>
      <w:footerReference w:type="even" r:id="rId11"/>
      <w:footerReference w:type="default" r:id="rId12"/>
      <w:head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DC" w:rsidRDefault="000944DC" w:rsidP="001C4A79">
      <w:r>
        <w:separator/>
      </w:r>
    </w:p>
  </w:endnote>
  <w:endnote w:type="continuationSeparator" w:id="0">
    <w:p w:rsidR="000944DC" w:rsidRDefault="000944DC" w:rsidP="001C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Pr="004551E5" w:rsidRDefault="004551E5">
    <w:pPr>
      <w:pStyle w:val="Footer"/>
      <w:rPr>
        <w:sz w:val="16"/>
        <w:szCs w:val="16"/>
      </w:rPr>
    </w:pPr>
    <w:r w:rsidRPr="004551E5">
      <w:rPr>
        <w:sz w:val="16"/>
        <w:szCs w:val="16"/>
      </w:rPr>
      <w:t>JCDPH #2609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Default="004551E5">
    <w:pPr>
      <w:pStyle w:val="Footer"/>
      <w:rPr>
        <w:sz w:val="16"/>
        <w:szCs w:val="16"/>
      </w:rPr>
    </w:pPr>
    <w:r>
      <w:rPr>
        <w:sz w:val="16"/>
        <w:szCs w:val="16"/>
      </w:rPr>
      <w:t>JCDPH #2609</w:t>
    </w:r>
  </w:p>
  <w:p w:rsidR="004551E5" w:rsidRPr="004551E5" w:rsidRDefault="004551E5">
    <w:pPr>
      <w:pStyle w:val="Footer"/>
      <w:rPr>
        <w:sz w:val="16"/>
        <w:szCs w:val="16"/>
      </w:rPr>
    </w:pPr>
    <w:r>
      <w:rPr>
        <w:sz w:val="16"/>
        <w:szCs w:val="16"/>
      </w:rPr>
      <w:t>Rev. 01/18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DC" w:rsidRDefault="000944DC" w:rsidP="001C4A79">
      <w:r>
        <w:separator/>
      </w:r>
    </w:p>
  </w:footnote>
  <w:footnote w:type="continuationSeparator" w:id="0">
    <w:p w:rsidR="000944DC" w:rsidRDefault="000944DC" w:rsidP="001C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3B" w:rsidRDefault="003D4B3B">
    <w:pPr>
      <w:pStyle w:val="Header"/>
    </w:pPr>
    <w:r>
      <w:t xml:space="preserve">Pg. </w:t>
    </w:r>
    <w:sdt>
      <w:sdtPr>
        <w:id w:val="75666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51E5">
          <w:rPr>
            <w:noProof/>
          </w:rPr>
          <w:t>2</w:t>
        </w:r>
        <w:r>
          <w:rPr>
            <w:noProof/>
          </w:rPr>
          <w:fldChar w:fldCharType="end"/>
        </w:r>
      </w:sdtContent>
    </w:sdt>
  </w:p>
  <w:p w:rsidR="003D4B3B" w:rsidRDefault="003D4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05" w:rsidRDefault="00B56805">
    <w:pPr>
      <w:pStyle w:val="Header"/>
    </w:pPr>
    <w:r>
      <w:t xml:space="preserve">Pg. </w:t>
    </w:r>
    <w:sdt>
      <w:sdtPr>
        <w:id w:val="-1646968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92CDA">
          <w:rPr>
            <w:noProof/>
          </w:rPr>
          <w:t>2</w:t>
        </w:r>
        <w:r>
          <w:rPr>
            <w:noProof/>
          </w:rPr>
          <w:fldChar w:fldCharType="end"/>
        </w:r>
      </w:sdtContent>
    </w:sdt>
  </w:p>
  <w:p w:rsidR="00B56805" w:rsidRDefault="00B56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Default="001728A0" w:rsidP="004551E5">
    <w:pPr>
      <w:jc w:val="center"/>
      <w:rPr>
        <w:b/>
        <w:u w:val="single"/>
      </w:rPr>
    </w:pPr>
    <w:r w:rsidRPr="001728A0">
      <w:rPr>
        <w:noProof/>
      </w:rPr>
      <w:drawing>
        <wp:inline distT="0" distB="0" distL="0" distR="0" wp14:anchorId="6E2502D1" wp14:editId="1CEA077C">
          <wp:extent cx="896620" cy="9046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904698"/>
                  </a:xfrm>
                  <a:prstGeom prst="rect">
                    <a:avLst/>
                  </a:prstGeom>
                  <a:noFill/>
                  <a:ln>
                    <a:noFill/>
                  </a:ln>
                </pic:spPr>
              </pic:pic>
            </a:graphicData>
          </a:graphic>
        </wp:inline>
      </w:drawing>
    </w:r>
    <w:r>
      <w:rPr>
        <w:b/>
        <w:noProof/>
        <w:u w:val="single"/>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194310</wp:posOffset>
              </wp:positionV>
              <wp:extent cx="1085850" cy="971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971550"/>
                      </a:xfrm>
                      <a:prstGeom prst="rect">
                        <a:avLst/>
                      </a:prstGeom>
                      <a:solidFill>
                        <a:schemeClr val="lt1"/>
                      </a:solidFill>
                      <a:ln w="6350">
                        <a:noFill/>
                      </a:ln>
                    </wps:spPr>
                    <wps:txbx>
                      <w:txbxContent>
                        <w:p w:rsidR="001728A0" w:rsidRDefault="00172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5.3pt;width:8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" fillcolor="white [3201]" stroked="f" strokeweight=".5pt">
              <v:textbox>
                <w:txbxContent>
                  <w:p w:rsidR="001728A0" w:rsidRDefault="001728A0"/>
                </w:txbxContent>
              </v:textbox>
            </v:shape>
          </w:pict>
        </mc:Fallback>
      </mc:AlternateContent>
    </w:r>
  </w:p>
  <w:p w:rsidR="004551E5" w:rsidRPr="00FE3F21" w:rsidRDefault="004551E5" w:rsidP="004551E5">
    <w:pPr>
      <w:jc w:val="center"/>
      <w:rPr>
        <w:rFonts w:ascii="Baskerville Old Face" w:hAnsi="Baskerville Old Face"/>
        <w:b/>
        <w:sz w:val="28"/>
        <w:szCs w:val="28"/>
      </w:rPr>
    </w:pPr>
    <w:r w:rsidRPr="00FE3F21">
      <w:rPr>
        <w:rFonts w:ascii="Baskerville Old Face" w:hAnsi="Baskerville Old Face"/>
        <w:b/>
        <w:sz w:val="28"/>
        <w:szCs w:val="28"/>
      </w:rPr>
      <w:t>Jackson County Department of Public Health</w:t>
    </w:r>
  </w:p>
  <w:p w:rsidR="004551E5" w:rsidRPr="00592FA3" w:rsidRDefault="001728A0" w:rsidP="001728A0">
    <w:pPr>
      <w:tabs>
        <w:tab w:val="left" w:pos="1605"/>
        <w:tab w:val="center" w:pos="4680"/>
      </w:tabs>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00BF4C6A">
      <w:rPr>
        <w:rFonts w:ascii="Baskerville Old Face" w:hAnsi="Baskerville Old Face"/>
        <w:sz w:val="20"/>
        <w:szCs w:val="20"/>
      </w:rPr>
      <w:t>154 Medical Park Loop</w:t>
    </w:r>
    <w:r w:rsidR="004551E5" w:rsidRPr="00592FA3">
      <w:rPr>
        <w:rFonts w:ascii="Baskerville Old Face" w:hAnsi="Baskerville Old Face"/>
        <w:sz w:val="20"/>
        <w:szCs w:val="20"/>
      </w:rPr>
      <w:t xml:space="preserve">  </w:t>
    </w:r>
    <w:r w:rsidR="004551E5" w:rsidRPr="00592FA3">
      <w:rPr>
        <w:rFonts w:ascii="Baskerville Old Face" w:hAnsi="Baskerville Old Face"/>
        <w:sz w:val="20"/>
        <w:szCs w:val="20"/>
      </w:rPr>
      <w:sym w:font="Wingdings 2" w:char="F097"/>
    </w:r>
    <w:r w:rsidR="004551E5" w:rsidRPr="00592FA3">
      <w:rPr>
        <w:rFonts w:ascii="Baskerville Old Face" w:hAnsi="Baskerville Old Face"/>
        <w:sz w:val="20"/>
        <w:szCs w:val="20"/>
      </w:rPr>
      <w:t xml:space="preserve">  Sylva, NC 28779</w:t>
    </w:r>
  </w:p>
  <w:p w:rsidR="004551E5" w:rsidRPr="00592FA3" w:rsidRDefault="004551E5" w:rsidP="004551E5">
    <w:pPr>
      <w:jc w:val="center"/>
      <w:rPr>
        <w:rFonts w:ascii="Baskerville Old Face" w:hAnsi="Baskerville Old Face"/>
        <w:sz w:val="20"/>
        <w:szCs w:val="20"/>
      </w:rPr>
    </w:pPr>
    <w:r w:rsidRPr="00592FA3">
      <w:rPr>
        <w:rFonts w:ascii="Baskerville Old Face" w:hAnsi="Baskerville Old Face"/>
        <w:sz w:val="20"/>
        <w:szCs w:val="20"/>
      </w:rPr>
      <w:t xml:space="preserve">Tel: 828-586-8994 </w:t>
    </w:r>
    <w:r w:rsidRPr="00592FA3">
      <w:rPr>
        <w:rFonts w:ascii="Baskerville Old Face" w:hAnsi="Baskerville Old Face"/>
        <w:sz w:val="20"/>
        <w:szCs w:val="20"/>
      </w:rPr>
      <w:sym w:font="Wingdings 2" w:char="F097"/>
    </w:r>
    <w:r w:rsidRPr="00592FA3">
      <w:rPr>
        <w:rFonts w:ascii="Baskerville Old Face" w:hAnsi="Baskerville Old Face"/>
        <w:sz w:val="20"/>
        <w:szCs w:val="20"/>
      </w:rPr>
      <w:t xml:space="preserve"> FAX: 828-586-3493</w:t>
    </w:r>
  </w:p>
  <w:p w:rsidR="004551E5" w:rsidRPr="00592FA3" w:rsidRDefault="004551E5" w:rsidP="004551E5">
    <w:pPr>
      <w:jc w:val="center"/>
      <w:rPr>
        <w:rFonts w:ascii="Baskerville Old Face" w:hAnsi="Baskerville Old Face"/>
        <w:sz w:val="20"/>
        <w:szCs w:val="20"/>
      </w:rPr>
    </w:pPr>
    <w:r>
      <w:rPr>
        <w:rFonts w:ascii="Baskerville Old Face" w:hAnsi="Baskerville Old Face"/>
        <w:sz w:val="20"/>
        <w:szCs w:val="20"/>
      </w:rPr>
      <w:t>Shelley Carraway</w:t>
    </w:r>
  </w:p>
  <w:p w:rsidR="004551E5" w:rsidRDefault="004551E5" w:rsidP="004551E5">
    <w:pPr>
      <w:jc w:val="center"/>
      <w:rPr>
        <w:rFonts w:ascii="Baskerville Old Face" w:hAnsi="Baskerville Old Face"/>
        <w:sz w:val="18"/>
        <w:szCs w:val="18"/>
      </w:rPr>
    </w:pPr>
    <w:r>
      <w:rPr>
        <w:rFonts w:ascii="Baskerville Old Face" w:hAnsi="Baskerville Old Face"/>
        <w:sz w:val="18"/>
        <w:szCs w:val="18"/>
      </w:rPr>
      <w:t>DIRECTOR</w:t>
    </w:r>
  </w:p>
  <w:p w:rsidR="004551E5" w:rsidRDefault="00455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157D7"/>
    <w:multiLevelType w:val="hybridMultilevel"/>
    <w:tmpl w:val="35BE33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54339ED"/>
    <w:multiLevelType w:val="hybridMultilevel"/>
    <w:tmpl w:val="F866F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A3078"/>
    <w:multiLevelType w:val="hybridMultilevel"/>
    <w:tmpl w:val="927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528BD"/>
    <w:multiLevelType w:val="hybridMultilevel"/>
    <w:tmpl w:val="C9E4AC76"/>
    <w:lvl w:ilvl="0" w:tplc="34667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FD3911"/>
    <w:multiLevelType w:val="hybridMultilevel"/>
    <w:tmpl w:val="BA1A1E66"/>
    <w:lvl w:ilvl="0" w:tplc="7988F9D2">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E0"/>
    <w:rsid w:val="00066555"/>
    <w:rsid w:val="00072348"/>
    <w:rsid w:val="000944DC"/>
    <w:rsid w:val="000B4000"/>
    <w:rsid w:val="000E0E83"/>
    <w:rsid w:val="00166533"/>
    <w:rsid w:val="001728A0"/>
    <w:rsid w:val="00184F42"/>
    <w:rsid w:val="001C4A79"/>
    <w:rsid w:val="001E335D"/>
    <w:rsid w:val="002217BC"/>
    <w:rsid w:val="00267DA9"/>
    <w:rsid w:val="002C199E"/>
    <w:rsid w:val="00392CDA"/>
    <w:rsid w:val="003C5657"/>
    <w:rsid w:val="003D4B3B"/>
    <w:rsid w:val="004551E5"/>
    <w:rsid w:val="004A482F"/>
    <w:rsid w:val="004E24BA"/>
    <w:rsid w:val="004F1F85"/>
    <w:rsid w:val="004F5F9C"/>
    <w:rsid w:val="004F63E8"/>
    <w:rsid w:val="005033C6"/>
    <w:rsid w:val="005F5E74"/>
    <w:rsid w:val="006034F3"/>
    <w:rsid w:val="006648AE"/>
    <w:rsid w:val="006A3B09"/>
    <w:rsid w:val="006F718A"/>
    <w:rsid w:val="00714EE0"/>
    <w:rsid w:val="00716B0E"/>
    <w:rsid w:val="007B4910"/>
    <w:rsid w:val="007C6CF8"/>
    <w:rsid w:val="00832741"/>
    <w:rsid w:val="008551E0"/>
    <w:rsid w:val="00884CB0"/>
    <w:rsid w:val="008F443D"/>
    <w:rsid w:val="0090758E"/>
    <w:rsid w:val="00973D03"/>
    <w:rsid w:val="009D4E7C"/>
    <w:rsid w:val="009E7FF1"/>
    <w:rsid w:val="00A05126"/>
    <w:rsid w:val="00A97D5B"/>
    <w:rsid w:val="00AD4F23"/>
    <w:rsid w:val="00B40B8E"/>
    <w:rsid w:val="00B56805"/>
    <w:rsid w:val="00B757F3"/>
    <w:rsid w:val="00BE3DDC"/>
    <w:rsid w:val="00BF4C6A"/>
    <w:rsid w:val="00C2452D"/>
    <w:rsid w:val="00CF49FA"/>
    <w:rsid w:val="00D04DA0"/>
    <w:rsid w:val="00D31255"/>
    <w:rsid w:val="00E73444"/>
    <w:rsid w:val="00E8232E"/>
    <w:rsid w:val="00E9343A"/>
    <w:rsid w:val="00EC5931"/>
    <w:rsid w:val="00F427C4"/>
    <w:rsid w:val="00F7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E41B5-1B93-45F4-B687-411B01D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E0"/>
    <w:rPr>
      <w:rFonts w:ascii="Tahoma" w:hAnsi="Tahoma" w:cs="Tahoma"/>
      <w:sz w:val="16"/>
      <w:szCs w:val="16"/>
    </w:rPr>
  </w:style>
  <w:style w:type="character" w:customStyle="1" w:styleId="BalloonTextChar">
    <w:name w:val="Balloon Text Char"/>
    <w:basedOn w:val="DefaultParagraphFont"/>
    <w:link w:val="BalloonText"/>
    <w:uiPriority w:val="99"/>
    <w:semiHidden/>
    <w:rsid w:val="00714EE0"/>
    <w:rPr>
      <w:rFonts w:ascii="Tahoma" w:eastAsia="Times New Roman" w:hAnsi="Tahoma" w:cs="Tahoma"/>
      <w:sz w:val="16"/>
      <w:szCs w:val="16"/>
    </w:rPr>
  </w:style>
  <w:style w:type="paragraph" w:styleId="ListParagraph">
    <w:name w:val="List Paragraph"/>
    <w:basedOn w:val="Normal"/>
    <w:uiPriority w:val="34"/>
    <w:qFormat/>
    <w:rsid w:val="004F5F9C"/>
    <w:pPr>
      <w:ind w:left="720"/>
      <w:contextualSpacing/>
    </w:pPr>
  </w:style>
  <w:style w:type="paragraph" w:styleId="Header">
    <w:name w:val="header"/>
    <w:basedOn w:val="Normal"/>
    <w:link w:val="HeaderChar"/>
    <w:uiPriority w:val="99"/>
    <w:unhideWhenUsed/>
    <w:rsid w:val="001C4A79"/>
    <w:pPr>
      <w:tabs>
        <w:tab w:val="center" w:pos="4680"/>
        <w:tab w:val="right" w:pos="9360"/>
      </w:tabs>
    </w:pPr>
  </w:style>
  <w:style w:type="character" w:customStyle="1" w:styleId="HeaderChar">
    <w:name w:val="Header Char"/>
    <w:basedOn w:val="DefaultParagraphFont"/>
    <w:link w:val="Header"/>
    <w:uiPriority w:val="99"/>
    <w:rsid w:val="001C4A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A79"/>
    <w:pPr>
      <w:tabs>
        <w:tab w:val="center" w:pos="4680"/>
        <w:tab w:val="right" w:pos="9360"/>
      </w:tabs>
    </w:pPr>
  </w:style>
  <w:style w:type="character" w:customStyle="1" w:styleId="FooterChar">
    <w:name w:val="Footer Char"/>
    <w:basedOn w:val="DefaultParagraphFont"/>
    <w:link w:val="Footer"/>
    <w:uiPriority w:val="99"/>
    <w:rsid w:val="001C4A79"/>
    <w:rPr>
      <w:rFonts w:ascii="Times New Roman" w:eastAsia="Times New Roman" w:hAnsi="Times New Roman" w:cs="Times New Roman"/>
      <w:sz w:val="24"/>
      <w:szCs w:val="24"/>
    </w:rPr>
  </w:style>
  <w:style w:type="table" w:styleId="TableGrid">
    <w:name w:val="Table Grid"/>
    <w:basedOn w:val="TableNormal"/>
    <w:uiPriority w:val="59"/>
    <w:rsid w:val="00664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72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acksonnc.org/employment-opportuniti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LaNae Barnes</dc:creator>
  <cp:lastModifiedBy>Martha Thomasson</cp:lastModifiedBy>
  <cp:revision>4</cp:revision>
  <cp:lastPrinted>2019-04-03T14:05:00Z</cp:lastPrinted>
  <dcterms:created xsi:type="dcterms:W3CDTF">2019-08-23T13:54:00Z</dcterms:created>
  <dcterms:modified xsi:type="dcterms:W3CDTF">2019-08-23T14:08:00Z</dcterms:modified>
</cp:coreProperties>
</file>