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Look w:val="04A0" w:firstRow="1" w:lastRow="0" w:firstColumn="1" w:lastColumn="0" w:noHBand="0" w:noVBand="1"/>
      </w:tblPr>
      <w:tblGrid>
        <w:gridCol w:w="1887"/>
        <w:gridCol w:w="7653"/>
      </w:tblGrid>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bookmarkStart w:id="0" w:name="_GoBack"/>
            <w:bookmarkEnd w:id="0"/>
            <w:r w:rsidRPr="00072348">
              <w:rPr>
                <w:rFonts w:ascii="Baskerville Old Face" w:eastAsia="Calibri" w:hAnsi="Baskerville Old Face"/>
                <w:b/>
                <w:sz w:val="20"/>
                <w:szCs w:val="20"/>
              </w:rPr>
              <w:t>Position:</w:t>
            </w:r>
          </w:p>
        </w:tc>
        <w:tc>
          <w:tcPr>
            <w:tcW w:w="7653" w:type="dxa"/>
            <w:shd w:val="clear" w:color="auto" w:fill="auto"/>
          </w:tcPr>
          <w:p w:rsidR="00072348" w:rsidRPr="00072348" w:rsidRDefault="00072348" w:rsidP="00E22367">
            <w:pPr>
              <w:jc w:val="both"/>
              <w:rPr>
                <w:rFonts w:eastAsia="Calibri"/>
                <w:b/>
              </w:rPr>
            </w:pPr>
            <w:r w:rsidRPr="00072348">
              <w:rPr>
                <w:rFonts w:eastAsia="Calibri"/>
                <w:b/>
              </w:rPr>
              <w:t>Environmental Health Program Coordinator</w:t>
            </w:r>
          </w:p>
          <w:p w:rsidR="00072348" w:rsidRPr="00072348" w:rsidRDefault="00072348" w:rsidP="00E22367">
            <w:pPr>
              <w:jc w:val="both"/>
              <w:rPr>
                <w:rFonts w:ascii="Baskerville Old Face" w:eastAsia="Calibri" w:hAnsi="Baskerville Old Face"/>
                <w:i/>
                <w:sz w:val="20"/>
                <w:szCs w:val="20"/>
              </w:rPr>
            </w:pPr>
            <w:r w:rsidRPr="00072348">
              <w:rPr>
                <w:rFonts w:eastAsia="Calibri"/>
                <w:b/>
                <w:i/>
              </w:rPr>
              <w:t>Permanent, Full-Time</w:t>
            </w: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p>
        </w:tc>
        <w:tc>
          <w:tcPr>
            <w:tcW w:w="7653" w:type="dxa"/>
            <w:shd w:val="clear" w:color="auto" w:fill="auto"/>
          </w:tcPr>
          <w:p w:rsidR="00072348" w:rsidRPr="00072348" w:rsidRDefault="00072348" w:rsidP="00E22367">
            <w:pPr>
              <w:jc w:val="both"/>
              <w:rPr>
                <w:rFonts w:ascii="Baskerville Old Face" w:eastAsia="Calibri" w:hAnsi="Baskerville Old Face"/>
                <w:b/>
                <w:sz w:val="20"/>
                <w:szCs w:val="20"/>
              </w:rPr>
            </w:pP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r w:rsidRPr="00072348">
              <w:rPr>
                <w:rFonts w:ascii="Baskerville Old Face" w:eastAsia="Calibri" w:hAnsi="Baskerville Old Face"/>
                <w:b/>
                <w:sz w:val="20"/>
                <w:szCs w:val="20"/>
              </w:rPr>
              <w:t>Department:</w:t>
            </w:r>
          </w:p>
        </w:tc>
        <w:tc>
          <w:tcPr>
            <w:tcW w:w="7653" w:type="dxa"/>
            <w:shd w:val="clear" w:color="auto" w:fill="auto"/>
          </w:tcPr>
          <w:p w:rsidR="00072348" w:rsidRPr="00072348" w:rsidRDefault="00072348" w:rsidP="00E22367">
            <w:pPr>
              <w:rPr>
                <w:rFonts w:ascii="Baskerville Old Face" w:eastAsia="Calibri" w:hAnsi="Baskerville Old Face"/>
                <w:sz w:val="20"/>
                <w:szCs w:val="20"/>
              </w:rPr>
            </w:pPr>
            <w:r w:rsidRPr="00072348">
              <w:rPr>
                <w:rFonts w:ascii="Baskerville Old Face" w:eastAsia="Calibri" w:hAnsi="Baskerville Old Face"/>
                <w:sz w:val="20"/>
                <w:szCs w:val="20"/>
              </w:rPr>
              <w:t>Health Department</w:t>
            </w: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p>
        </w:tc>
        <w:tc>
          <w:tcPr>
            <w:tcW w:w="7653" w:type="dxa"/>
            <w:shd w:val="clear" w:color="auto" w:fill="auto"/>
          </w:tcPr>
          <w:p w:rsidR="00072348" w:rsidRPr="00072348" w:rsidRDefault="00072348" w:rsidP="00E22367">
            <w:pPr>
              <w:rPr>
                <w:rFonts w:ascii="Baskerville Old Face" w:eastAsia="Calibri" w:hAnsi="Baskerville Old Face"/>
                <w:sz w:val="20"/>
                <w:szCs w:val="20"/>
              </w:rPr>
            </w:pP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r w:rsidRPr="00072348">
              <w:rPr>
                <w:rFonts w:ascii="Baskerville Old Face" w:eastAsia="Calibri" w:hAnsi="Baskerville Old Face"/>
                <w:b/>
                <w:sz w:val="20"/>
                <w:szCs w:val="20"/>
              </w:rPr>
              <w:t>Description of Duties &amp; Responsibilities:</w:t>
            </w:r>
          </w:p>
        </w:tc>
        <w:tc>
          <w:tcPr>
            <w:tcW w:w="7653" w:type="dxa"/>
            <w:shd w:val="clear" w:color="auto" w:fill="auto"/>
          </w:tcPr>
          <w:p w:rsidR="00072348" w:rsidRPr="00072348" w:rsidRDefault="00072348" w:rsidP="00CA41CB">
            <w:pPr>
              <w:tabs>
                <w:tab w:val="left" w:pos="180"/>
              </w:tabs>
              <w:ind w:right="-90"/>
              <w:jc w:val="both"/>
              <w:rPr>
                <w:rFonts w:ascii="Baskerville Old Face" w:eastAsia="Calibri" w:hAnsi="Baskerville Old Face"/>
                <w:i/>
                <w:sz w:val="20"/>
                <w:szCs w:val="20"/>
              </w:rPr>
            </w:pPr>
            <w:r w:rsidRPr="00072348">
              <w:rPr>
                <w:rFonts w:ascii="Baskerville Old Face" w:hAnsi="Baskerville Old Face"/>
                <w:sz w:val="20"/>
                <w:szCs w:val="20"/>
              </w:rPr>
              <w:t xml:space="preserve">The primary purpose of the position of Environmental Health Program Coordinator with the Jackson County Department of Public Health is enforcing the N.C. Environmental Health laws and regulations promulgated by the legislative body and Environmental Health Section of the North Carolina Department of Health and Human Resources. This is advanced professional environmental health work in coordinating county environmental health programs </w:t>
            </w:r>
            <w:r w:rsidR="00E027A7">
              <w:rPr>
                <w:rFonts w:ascii="Baskerville Old Face" w:hAnsi="Baskerville Old Face"/>
                <w:sz w:val="20"/>
                <w:szCs w:val="20"/>
              </w:rPr>
              <w:t>and in promoting public health through developing and implementing program</w:t>
            </w:r>
            <w:r w:rsidR="00BC7AE0">
              <w:rPr>
                <w:rFonts w:ascii="Baskerville Old Face" w:hAnsi="Baskerville Old Face"/>
                <w:sz w:val="20"/>
                <w:szCs w:val="20"/>
              </w:rPr>
              <w:t>s</w:t>
            </w:r>
            <w:r w:rsidR="00E027A7">
              <w:rPr>
                <w:rFonts w:ascii="Baskerville Old Face" w:hAnsi="Baskerville Old Face"/>
                <w:sz w:val="20"/>
                <w:szCs w:val="20"/>
              </w:rPr>
              <w:t xml:space="preserve"> </w:t>
            </w:r>
            <w:r w:rsidRPr="00072348">
              <w:rPr>
                <w:rFonts w:ascii="Baskerville Old Face" w:hAnsi="Baskerville Old Face"/>
                <w:sz w:val="20"/>
                <w:szCs w:val="20"/>
              </w:rPr>
              <w:t xml:space="preserve">of education, surveillance, consultation, inspection, and enforcement of State, Local, and Federal environmental health laws and regulations.  Work </w:t>
            </w:r>
            <w:r w:rsidR="00BC7AE0">
              <w:rPr>
                <w:rFonts w:ascii="Baskerville Old Face" w:hAnsi="Baskerville Old Face"/>
                <w:sz w:val="20"/>
                <w:szCs w:val="20"/>
              </w:rPr>
              <w:t>shall</w:t>
            </w:r>
            <w:r w:rsidRPr="00072348">
              <w:rPr>
                <w:rFonts w:ascii="Baskerville Old Face" w:hAnsi="Baskerville Old Face"/>
                <w:sz w:val="20"/>
                <w:szCs w:val="20"/>
              </w:rPr>
              <w:t xml:space="preserve"> include coordinating the wor</w:t>
            </w:r>
            <w:r w:rsidR="00BC7AE0">
              <w:rPr>
                <w:rFonts w:ascii="Baskerville Old Face" w:hAnsi="Baskerville Old Face"/>
                <w:sz w:val="20"/>
                <w:szCs w:val="20"/>
              </w:rPr>
              <w:t>k and training of</w:t>
            </w:r>
            <w:r w:rsidR="006D3179">
              <w:rPr>
                <w:rFonts w:ascii="Baskerville Old Face" w:hAnsi="Baskerville Old Face"/>
                <w:sz w:val="20"/>
                <w:szCs w:val="20"/>
              </w:rPr>
              <w:t xml:space="preserve"> Environmental Health </w:t>
            </w:r>
            <w:r w:rsidR="00BC7AE0">
              <w:rPr>
                <w:rFonts w:ascii="Baskerville Old Face" w:hAnsi="Baskerville Old Face"/>
                <w:sz w:val="20"/>
                <w:szCs w:val="20"/>
              </w:rPr>
              <w:t>Specialists.</w:t>
            </w:r>
            <w:r w:rsidRPr="00072348">
              <w:rPr>
                <w:rFonts w:ascii="Baskerville Old Face" w:hAnsi="Baskerville Old Face"/>
                <w:sz w:val="20"/>
                <w:szCs w:val="20"/>
              </w:rPr>
              <w:t xml:space="preserve"> </w:t>
            </w: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p>
        </w:tc>
        <w:tc>
          <w:tcPr>
            <w:tcW w:w="7653" w:type="dxa"/>
            <w:shd w:val="clear" w:color="auto" w:fill="auto"/>
          </w:tcPr>
          <w:p w:rsidR="00072348" w:rsidRPr="00072348" w:rsidRDefault="00072348" w:rsidP="00E22367">
            <w:pPr>
              <w:jc w:val="both"/>
              <w:rPr>
                <w:rFonts w:ascii="Baskerville Old Face" w:eastAsia="Calibri" w:hAnsi="Baskerville Old Face"/>
                <w:b/>
                <w:sz w:val="20"/>
                <w:szCs w:val="20"/>
              </w:rPr>
            </w:pP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r w:rsidRPr="00072348">
              <w:rPr>
                <w:rFonts w:ascii="Baskerville Old Face" w:eastAsia="Calibri" w:hAnsi="Baskerville Old Face"/>
                <w:b/>
                <w:sz w:val="20"/>
                <w:szCs w:val="20"/>
              </w:rPr>
              <w:t>Education &amp; Experience Requirements:</w:t>
            </w:r>
          </w:p>
        </w:tc>
        <w:tc>
          <w:tcPr>
            <w:tcW w:w="7653" w:type="dxa"/>
            <w:shd w:val="clear" w:color="auto" w:fill="auto"/>
          </w:tcPr>
          <w:p w:rsidR="00072348" w:rsidRPr="00072348" w:rsidRDefault="00072348" w:rsidP="00E22367">
            <w:pPr>
              <w:rPr>
                <w:rFonts w:ascii="Baskerville Old Face" w:eastAsia="Calibri" w:hAnsi="Baskerville Old Face"/>
                <w:sz w:val="20"/>
                <w:szCs w:val="20"/>
              </w:rPr>
            </w:pPr>
            <w:r w:rsidRPr="00072348">
              <w:rPr>
                <w:b/>
                <w:bCs/>
                <w:sz w:val="20"/>
                <w:szCs w:val="20"/>
              </w:rPr>
              <w:t>Required Minimum Training</w:t>
            </w:r>
            <w:r w:rsidRPr="00072348">
              <w:rPr>
                <w:rFonts w:ascii="Baskerville Old Face" w:hAnsi="Baskerville Old Face"/>
                <w:b/>
                <w:bCs/>
                <w:sz w:val="20"/>
                <w:szCs w:val="20"/>
              </w:rPr>
              <w:t xml:space="preserve">: </w:t>
            </w:r>
            <w:r w:rsidRPr="00072348">
              <w:rPr>
                <w:rFonts w:ascii="Baskerville Old Face" w:hAnsi="Baskerville Old Face"/>
                <w:sz w:val="20"/>
                <w:szCs w:val="20"/>
              </w:rPr>
              <w:t>Graduation from a four-year college or university with a minimum of 30 semester hours of course work in the physical and/or biological science with two years of experience at the Environmental Health Specialist level; or a four-year or Master’s degree in Environmental Health from a program which is accredited by the National Accreditation Council for Environmental Health Curricula of the National Environmental Health Association and one year of experience in Environmental Health.  Required to be licensed as a Registered Sanitarian by the N.C. Board of Sanitarian Examiners.</w:t>
            </w: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p>
        </w:tc>
        <w:tc>
          <w:tcPr>
            <w:tcW w:w="7653" w:type="dxa"/>
            <w:shd w:val="clear" w:color="auto" w:fill="auto"/>
          </w:tcPr>
          <w:p w:rsidR="00072348" w:rsidRPr="00072348" w:rsidRDefault="00072348" w:rsidP="00E22367">
            <w:pPr>
              <w:jc w:val="both"/>
              <w:rPr>
                <w:rFonts w:ascii="Baskerville Old Face" w:eastAsia="Calibri" w:hAnsi="Baskerville Old Face"/>
                <w:b/>
                <w:sz w:val="20"/>
                <w:szCs w:val="20"/>
              </w:rPr>
            </w:pPr>
          </w:p>
        </w:tc>
      </w:tr>
      <w:tr w:rsidR="00072348" w:rsidRPr="00072348" w:rsidTr="00E22367">
        <w:trPr>
          <w:trHeight w:val="135"/>
        </w:trPr>
        <w:tc>
          <w:tcPr>
            <w:tcW w:w="1887" w:type="dxa"/>
            <w:shd w:val="clear" w:color="auto" w:fill="auto"/>
          </w:tcPr>
          <w:p w:rsidR="00072348" w:rsidRPr="00072348" w:rsidRDefault="00072348" w:rsidP="00E22367">
            <w:pPr>
              <w:rPr>
                <w:rFonts w:ascii="Baskerville Old Face" w:eastAsia="Calibri" w:hAnsi="Baskerville Old Face"/>
                <w:b/>
                <w:sz w:val="20"/>
                <w:szCs w:val="20"/>
              </w:rPr>
            </w:pPr>
            <w:r w:rsidRPr="00072348">
              <w:rPr>
                <w:rFonts w:ascii="Baskerville Old Face" w:eastAsia="Calibri" w:hAnsi="Baskerville Old Face"/>
                <w:b/>
                <w:sz w:val="20"/>
                <w:szCs w:val="20"/>
              </w:rPr>
              <w:t>Starting Salary:</w:t>
            </w:r>
          </w:p>
        </w:tc>
        <w:tc>
          <w:tcPr>
            <w:tcW w:w="7653" w:type="dxa"/>
            <w:shd w:val="clear" w:color="auto" w:fill="auto"/>
          </w:tcPr>
          <w:p w:rsidR="00072348" w:rsidRPr="00072348" w:rsidRDefault="00072348" w:rsidP="00E22367">
            <w:pPr>
              <w:jc w:val="both"/>
              <w:rPr>
                <w:rFonts w:ascii="Baskerville Old Face" w:eastAsia="Calibri" w:hAnsi="Baskerville Old Face"/>
                <w:sz w:val="20"/>
                <w:szCs w:val="20"/>
              </w:rPr>
            </w:pPr>
            <w:r w:rsidRPr="00072348">
              <w:rPr>
                <w:rFonts w:ascii="Baskerville Old Face" w:hAnsi="Baskerville Old Face"/>
                <w:sz w:val="20"/>
                <w:szCs w:val="20"/>
              </w:rPr>
              <w:t xml:space="preserve">$41, 276.54 (Grade 25).  </w:t>
            </w:r>
          </w:p>
          <w:p w:rsidR="00072348" w:rsidRPr="00072348" w:rsidRDefault="00072348" w:rsidP="00E22367">
            <w:pPr>
              <w:jc w:val="both"/>
              <w:rPr>
                <w:rFonts w:ascii="Baskerville Old Face" w:eastAsia="Calibri" w:hAnsi="Baskerville Old Face"/>
                <w:sz w:val="20"/>
                <w:szCs w:val="20"/>
              </w:rPr>
            </w:pPr>
            <w:r w:rsidRPr="00072348">
              <w:rPr>
                <w:rFonts w:ascii="Baskerville Old Face" w:eastAsia="Calibri" w:hAnsi="Baskerville Old Face"/>
                <w:sz w:val="20"/>
                <w:szCs w:val="20"/>
              </w:rPr>
              <w:t>Jackson County provides a robust offering of employee benefits including employer paid medical and dental benefits, participation in the Local Government Employees Retirement System, paid vacation, sick, and holiday leave, employee clinic and wellness program, and supplemental benefit offerings.</w:t>
            </w:r>
          </w:p>
          <w:p w:rsidR="00072348" w:rsidRPr="00072348" w:rsidRDefault="00072348" w:rsidP="00E22367">
            <w:pPr>
              <w:pStyle w:val="ListParagraph"/>
              <w:ind w:left="0"/>
              <w:jc w:val="both"/>
              <w:rPr>
                <w:rFonts w:ascii="Baskerville Old Face" w:hAnsi="Baskerville Old Face"/>
                <w:sz w:val="20"/>
                <w:szCs w:val="20"/>
              </w:rPr>
            </w:pPr>
          </w:p>
          <w:p w:rsidR="00072348" w:rsidRPr="00072348" w:rsidRDefault="00072348" w:rsidP="00E22367">
            <w:pPr>
              <w:jc w:val="both"/>
              <w:rPr>
                <w:rFonts w:ascii="Baskerville Old Face" w:eastAsia="Calibri" w:hAnsi="Baskerville Old Face"/>
                <w:sz w:val="20"/>
                <w:szCs w:val="20"/>
              </w:rPr>
            </w:pPr>
            <w:r w:rsidRPr="00072348">
              <w:rPr>
                <w:rFonts w:ascii="Baskerville Old Face" w:eastAsia="Calibri" w:hAnsi="Baskerville Old Face"/>
                <w:sz w:val="20"/>
                <w:szCs w:val="20"/>
              </w:rPr>
              <w:t xml:space="preserve">Full overview of benefits available at: </w:t>
            </w:r>
            <w:hyperlink r:id="rId7" w:history="1">
              <w:r w:rsidRPr="00072348">
                <w:rPr>
                  <w:rStyle w:val="Hyperlink"/>
                  <w:rFonts w:ascii="Baskerville Old Face" w:eastAsia="Calibri" w:hAnsi="Baskerville Old Face"/>
                  <w:sz w:val="20"/>
                  <w:szCs w:val="20"/>
                </w:rPr>
                <w:t>https://www.jacksonnc.org/employment-opportunities</w:t>
              </w:r>
            </w:hyperlink>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p>
        </w:tc>
        <w:tc>
          <w:tcPr>
            <w:tcW w:w="7653" w:type="dxa"/>
            <w:shd w:val="clear" w:color="auto" w:fill="auto"/>
          </w:tcPr>
          <w:p w:rsidR="00072348" w:rsidRPr="00072348" w:rsidRDefault="00072348" w:rsidP="00E22367">
            <w:pPr>
              <w:jc w:val="both"/>
              <w:rPr>
                <w:rFonts w:ascii="Baskerville Old Face" w:eastAsia="Calibri" w:hAnsi="Baskerville Old Face"/>
                <w:b/>
                <w:sz w:val="20"/>
                <w:szCs w:val="20"/>
              </w:rPr>
            </w:pP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r w:rsidRPr="00072348">
              <w:rPr>
                <w:rFonts w:ascii="Baskerville Old Face" w:eastAsia="Calibri" w:hAnsi="Baskerville Old Face"/>
                <w:b/>
                <w:sz w:val="20"/>
                <w:szCs w:val="20"/>
              </w:rPr>
              <w:t>Application Requirements:</w:t>
            </w:r>
          </w:p>
        </w:tc>
        <w:tc>
          <w:tcPr>
            <w:tcW w:w="7653" w:type="dxa"/>
            <w:shd w:val="clear" w:color="auto" w:fill="auto"/>
          </w:tcPr>
          <w:p w:rsidR="00072348" w:rsidRPr="00072348" w:rsidRDefault="00072348" w:rsidP="00E22367">
            <w:pPr>
              <w:jc w:val="both"/>
              <w:rPr>
                <w:rFonts w:ascii="Baskerville Old Face" w:eastAsia="Calibri" w:hAnsi="Baskerville Old Face"/>
                <w:sz w:val="20"/>
                <w:szCs w:val="20"/>
              </w:rPr>
            </w:pPr>
            <w:r w:rsidRPr="00072348">
              <w:rPr>
                <w:rFonts w:ascii="Baskerville Old Face" w:eastAsia="Calibri" w:hAnsi="Baskerville Old Face"/>
                <w:sz w:val="20"/>
                <w:szCs w:val="20"/>
              </w:rPr>
              <w:t>Submit a completed</w:t>
            </w:r>
            <w:r w:rsidR="00DF126A">
              <w:rPr>
                <w:rFonts w:ascii="Baskerville Old Face" w:eastAsia="Calibri" w:hAnsi="Baskerville Old Face"/>
                <w:sz w:val="20"/>
                <w:szCs w:val="20"/>
              </w:rPr>
              <w:t xml:space="preserve"> and signed </w:t>
            </w:r>
            <w:r w:rsidRPr="00072348">
              <w:rPr>
                <w:rFonts w:ascii="Baskerville Old Face" w:eastAsia="Calibri" w:hAnsi="Baskerville Old Face"/>
                <w:sz w:val="20"/>
                <w:szCs w:val="20"/>
              </w:rPr>
              <w:t>State Application (PD 107) to:</w:t>
            </w:r>
          </w:p>
          <w:p w:rsidR="00072348" w:rsidRPr="00072348" w:rsidRDefault="00072348" w:rsidP="00E22367">
            <w:pPr>
              <w:jc w:val="both"/>
              <w:rPr>
                <w:rFonts w:ascii="Baskerville Old Face" w:eastAsia="Calibri" w:hAnsi="Baskerville Old Face"/>
                <w:sz w:val="20"/>
                <w:szCs w:val="20"/>
              </w:rPr>
            </w:pPr>
            <w:r w:rsidRPr="00072348">
              <w:rPr>
                <w:rFonts w:ascii="Baskerville Old Face" w:eastAsia="Calibri" w:hAnsi="Baskerville Old Face"/>
                <w:sz w:val="20"/>
                <w:szCs w:val="20"/>
              </w:rPr>
              <w:t>NC Works Career Center</w:t>
            </w:r>
          </w:p>
          <w:p w:rsidR="00072348" w:rsidRPr="00072348" w:rsidRDefault="00072348" w:rsidP="00E22367">
            <w:pPr>
              <w:jc w:val="both"/>
              <w:rPr>
                <w:rFonts w:ascii="Baskerville Old Face" w:eastAsia="Calibri" w:hAnsi="Baskerville Old Face"/>
                <w:sz w:val="20"/>
                <w:szCs w:val="20"/>
              </w:rPr>
            </w:pPr>
            <w:r w:rsidRPr="00072348">
              <w:rPr>
                <w:rFonts w:ascii="Baskerville Old Face" w:eastAsia="Calibri" w:hAnsi="Baskerville Old Face"/>
                <w:sz w:val="20"/>
                <w:szCs w:val="20"/>
              </w:rPr>
              <w:t>26 Ridgeway Street, Suite 2</w:t>
            </w:r>
          </w:p>
          <w:p w:rsidR="00072348" w:rsidRPr="00072348" w:rsidRDefault="00072348" w:rsidP="00E22367">
            <w:pPr>
              <w:jc w:val="both"/>
              <w:rPr>
                <w:rFonts w:ascii="Baskerville Old Face" w:eastAsia="Calibri" w:hAnsi="Baskerville Old Face"/>
                <w:sz w:val="20"/>
                <w:szCs w:val="20"/>
              </w:rPr>
            </w:pPr>
            <w:r w:rsidRPr="00072348">
              <w:rPr>
                <w:rFonts w:ascii="Baskerville Old Face" w:eastAsia="Calibri" w:hAnsi="Baskerville Old Face"/>
                <w:sz w:val="20"/>
                <w:szCs w:val="20"/>
              </w:rPr>
              <w:t>Sylva, NC 28779</w:t>
            </w: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p>
        </w:tc>
        <w:tc>
          <w:tcPr>
            <w:tcW w:w="7653" w:type="dxa"/>
            <w:shd w:val="clear" w:color="auto" w:fill="auto"/>
          </w:tcPr>
          <w:p w:rsidR="00072348" w:rsidRPr="00072348" w:rsidRDefault="00072348" w:rsidP="00E22367">
            <w:pPr>
              <w:jc w:val="both"/>
              <w:rPr>
                <w:rFonts w:ascii="Baskerville Old Face" w:eastAsia="Calibri" w:hAnsi="Baskerville Old Face"/>
                <w:sz w:val="20"/>
                <w:szCs w:val="20"/>
              </w:rPr>
            </w:pPr>
          </w:p>
        </w:tc>
      </w:tr>
      <w:tr w:rsidR="00072348" w:rsidRPr="00072348" w:rsidTr="00E22367">
        <w:tc>
          <w:tcPr>
            <w:tcW w:w="1887" w:type="dxa"/>
            <w:shd w:val="clear" w:color="auto" w:fill="auto"/>
          </w:tcPr>
          <w:p w:rsidR="00072348" w:rsidRPr="00072348" w:rsidRDefault="00072348" w:rsidP="00E22367">
            <w:pPr>
              <w:rPr>
                <w:rFonts w:ascii="Baskerville Old Face" w:eastAsia="Calibri" w:hAnsi="Baskerville Old Face"/>
                <w:b/>
                <w:sz w:val="20"/>
                <w:szCs w:val="20"/>
              </w:rPr>
            </w:pPr>
            <w:r w:rsidRPr="00072348">
              <w:rPr>
                <w:rFonts w:ascii="Baskerville Old Face" w:eastAsia="Calibri" w:hAnsi="Baskerville Old Face"/>
                <w:b/>
                <w:sz w:val="20"/>
                <w:szCs w:val="20"/>
              </w:rPr>
              <w:t>Closing Date:</w:t>
            </w:r>
          </w:p>
        </w:tc>
        <w:tc>
          <w:tcPr>
            <w:tcW w:w="7653" w:type="dxa"/>
            <w:shd w:val="clear" w:color="auto" w:fill="auto"/>
          </w:tcPr>
          <w:p w:rsidR="00072348" w:rsidRPr="00072348" w:rsidRDefault="0033654C" w:rsidP="00E22367">
            <w:pPr>
              <w:jc w:val="both"/>
              <w:rPr>
                <w:rFonts w:ascii="Baskerville Old Face" w:eastAsia="Calibri" w:hAnsi="Baskerville Old Face"/>
                <w:b/>
                <w:sz w:val="20"/>
                <w:szCs w:val="20"/>
              </w:rPr>
            </w:pPr>
            <w:r>
              <w:rPr>
                <w:rFonts w:ascii="Baskerville Old Face" w:eastAsia="Calibri" w:hAnsi="Baskerville Old Face"/>
                <w:b/>
                <w:sz w:val="20"/>
                <w:szCs w:val="20"/>
              </w:rPr>
              <w:t>Friday, August 2, 2019.</w:t>
            </w:r>
          </w:p>
        </w:tc>
      </w:tr>
    </w:tbl>
    <w:p w:rsidR="00072348" w:rsidRPr="00072348" w:rsidRDefault="00072348" w:rsidP="00072348">
      <w:pPr>
        <w:rPr>
          <w:rFonts w:ascii="Baskerville Old Face" w:hAnsi="Baskerville Old Face"/>
          <w:b/>
          <w:sz w:val="20"/>
          <w:szCs w:val="20"/>
        </w:rPr>
      </w:pPr>
    </w:p>
    <w:p w:rsidR="00072348" w:rsidRPr="00072348" w:rsidRDefault="00072348" w:rsidP="00072348">
      <w:pPr>
        <w:rPr>
          <w:rFonts w:ascii="Baskerville Old Face" w:hAnsi="Baskerville Old Face"/>
          <w:b/>
          <w:sz w:val="20"/>
          <w:szCs w:val="20"/>
        </w:rPr>
      </w:pPr>
    </w:p>
    <w:p w:rsidR="00072348" w:rsidRPr="00072348" w:rsidRDefault="00072348" w:rsidP="00072348">
      <w:pPr>
        <w:jc w:val="center"/>
        <w:rPr>
          <w:rFonts w:ascii="Baskerville Old Face" w:hAnsi="Baskerville Old Face"/>
          <w:b/>
          <w:sz w:val="20"/>
          <w:szCs w:val="20"/>
        </w:rPr>
      </w:pPr>
      <w:r w:rsidRPr="00072348">
        <w:rPr>
          <w:rFonts w:ascii="Baskerville Old Face" w:hAnsi="Baskerville Old Face"/>
          <w:b/>
          <w:sz w:val="20"/>
          <w:szCs w:val="20"/>
        </w:rPr>
        <w:t>Jackson County is an Equal Opportunity Employer.</w:t>
      </w:r>
    </w:p>
    <w:p w:rsidR="00072348" w:rsidRPr="00072348" w:rsidRDefault="00072348" w:rsidP="00072348">
      <w:pPr>
        <w:jc w:val="center"/>
        <w:rPr>
          <w:rFonts w:ascii="Baskerville Old Face" w:hAnsi="Baskerville Old Face"/>
          <w:i/>
          <w:sz w:val="20"/>
          <w:szCs w:val="20"/>
        </w:rPr>
      </w:pPr>
      <w:r w:rsidRPr="00072348">
        <w:rPr>
          <w:rFonts w:ascii="Baskerville Old Face" w:hAnsi="Baskerville Old Face"/>
          <w:i/>
          <w:sz w:val="20"/>
          <w:szCs w:val="20"/>
        </w:rPr>
        <w:t>Pre-employment drug screen and criminal background checks are required.</w:t>
      </w:r>
    </w:p>
    <w:p w:rsidR="00072348" w:rsidRPr="00072348" w:rsidRDefault="00072348" w:rsidP="00072348">
      <w:pPr>
        <w:jc w:val="center"/>
        <w:rPr>
          <w:rFonts w:ascii="Baskerville Old Face" w:hAnsi="Baskerville Old Face"/>
          <w:b/>
          <w:sz w:val="20"/>
          <w:szCs w:val="20"/>
        </w:rPr>
      </w:pPr>
      <w:r w:rsidRPr="00072348">
        <w:rPr>
          <w:rFonts w:ascii="Baskerville Old Face" w:hAnsi="Baskerville Old Face"/>
          <w:i/>
          <w:sz w:val="20"/>
          <w:szCs w:val="20"/>
        </w:rPr>
        <w:t xml:space="preserve">Jackson County participates in the federal </w:t>
      </w:r>
      <w:hyperlink r:id="rId8" w:history="1">
        <w:r w:rsidRPr="00072348">
          <w:rPr>
            <w:rStyle w:val="Hyperlink"/>
            <w:rFonts w:ascii="Baskerville Old Face" w:hAnsi="Baskerville Old Face"/>
            <w:i/>
            <w:sz w:val="20"/>
            <w:szCs w:val="20"/>
          </w:rPr>
          <w:t>E-Verify</w:t>
        </w:r>
      </w:hyperlink>
      <w:r w:rsidRPr="00072348">
        <w:rPr>
          <w:rFonts w:ascii="Baskerville Old Face" w:hAnsi="Baskerville Old Face"/>
          <w:i/>
          <w:sz w:val="20"/>
          <w:szCs w:val="20"/>
        </w:rPr>
        <w:t xml:space="preserve"> program.</w:t>
      </w:r>
    </w:p>
    <w:p w:rsidR="005033C6" w:rsidRDefault="005033C6" w:rsidP="00043CF3">
      <w:r>
        <w:t xml:space="preserve">  </w:t>
      </w:r>
    </w:p>
    <w:p w:rsidR="005033C6" w:rsidRDefault="005033C6" w:rsidP="005033C6">
      <w:pPr>
        <w:jc w:val="center"/>
      </w:pPr>
    </w:p>
    <w:p w:rsidR="005033C6" w:rsidRPr="005033C6" w:rsidRDefault="005033C6" w:rsidP="005033C6">
      <w:pPr>
        <w:jc w:val="center"/>
      </w:pPr>
    </w:p>
    <w:sectPr w:rsidR="005033C6" w:rsidRPr="005033C6" w:rsidSect="001728A0">
      <w:headerReference w:type="even" r:id="rId9"/>
      <w:headerReference w:type="default" r:id="rId10"/>
      <w:footerReference w:type="even" r:id="rId11"/>
      <w:footerReference w:type="default" r:id="rId12"/>
      <w:head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BD" w:rsidRDefault="007763BD" w:rsidP="001C4A79">
      <w:r>
        <w:separator/>
      </w:r>
    </w:p>
  </w:endnote>
  <w:endnote w:type="continuationSeparator" w:id="0">
    <w:p w:rsidR="007763BD" w:rsidRDefault="007763BD" w:rsidP="001C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1E5" w:rsidRPr="004551E5" w:rsidRDefault="004551E5">
    <w:pPr>
      <w:pStyle w:val="Footer"/>
      <w:rPr>
        <w:sz w:val="16"/>
        <w:szCs w:val="16"/>
      </w:rPr>
    </w:pPr>
    <w:r w:rsidRPr="004551E5">
      <w:rPr>
        <w:sz w:val="16"/>
        <w:szCs w:val="16"/>
      </w:rPr>
      <w:t>JCDPH #2609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1E5" w:rsidRDefault="004551E5">
    <w:pPr>
      <w:pStyle w:val="Footer"/>
      <w:rPr>
        <w:sz w:val="16"/>
        <w:szCs w:val="16"/>
      </w:rPr>
    </w:pPr>
    <w:r>
      <w:rPr>
        <w:sz w:val="16"/>
        <w:szCs w:val="16"/>
      </w:rPr>
      <w:t>JCDPH #2609</w:t>
    </w:r>
  </w:p>
  <w:p w:rsidR="004551E5" w:rsidRPr="004551E5" w:rsidRDefault="004551E5">
    <w:pPr>
      <w:pStyle w:val="Footer"/>
      <w:rPr>
        <w:sz w:val="16"/>
        <w:szCs w:val="16"/>
      </w:rPr>
    </w:pPr>
    <w:r>
      <w:rPr>
        <w:sz w:val="16"/>
        <w:szCs w:val="16"/>
      </w:rPr>
      <w:t>Rev. 01/18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BD" w:rsidRDefault="007763BD" w:rsidP="001C4A79">
      <w:r>
        <w:separator/>
      </w:r>
    </w:p>
  </w:footnote>
  <w:footnote w:type="continuationSeparator" w:id="0">
    <w:p w:rsidR="007763BD" w:rsidRDefault="007763BD" w:rsidP="001C4A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3B" w:rsidRDefault="003D4B3B">
    <w:pPr>
      <w:pStyle w:val="Header"/>
    </w:pPr>
    <w:r>
      <w:t xml:space="preserve">Pg. </w:t>
    </w:r>
    <w:sdt>
      <w:sdtPr>
        <w:id w:val="75666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551E5">
          <w:rPr>
            <w:noProof/>
          </w:rPr>
          <w:t>2</w:t>
        </w:r>
        <w:r>
          <w:rPr>
            <w:noProof/>
          </w:rPr>
          <w:fldChar w:fldCharType="end"/>
        </w:r>
      </w:sdtContent>
    </w:sdt>
  </w:p>
  <w:p w:rsidR="003D4B3B" w:rsidRDefault="003D4B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805" w:rsidRDefault="00B56805">
    <w:pPr>
      <w:pStyle w:val="Header"/>
    </w:pPr>
    <w:r>
      <w:t xml:space="preserve">Pg. </w:t>
    </w:r>
    <w:sdt>
      <w:sdtPr>
        <w:id w:val="-16469681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027A7">
          <w:rPr>
            <w:noProof/>
          </w:rPr>
          <w:t>2</w:t>
        </w:r>
        <w:r>
          <w:rPr>
            <w:noProof/>
          </w:rPr>
          <w:fldChar w:fldCharType="end"/>
        </w:r>
      </w:sdtContent>
    </w:sdt>
  </w:p>
  <w:p w:rsidR="00B56805" w:rsidRDefault="00B568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1E5" w:rsidRDefault="001728A0" w:rsidP="004551E5">
    <w:pPr>
      <w:jc w:val="center"/>
      <w:rPr>
        <w:b/>
        <w:u w:val="single"/>
      </w:rPr>
    </w:pPr>
    <w:r w:rsidRPr="001728A0">
      <w:rPr>
        <w:noProof/>
      </w:rPr>
      <w:drawing>
        <wp:inline distT="0" distB="0" distL="0" distR="0" wp14:anchorId="6E2502D1" wp14:editId="1CEA077C">
          <wp:extent cx="896620" cy="9046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904698"/>
                  </a:xfrm>
                  <a:prstGeom prst="rect">
                    <a:avLst/>
                  </a:prstGeom>
                  <a:noFill/>
                  <a:ln>
                    <a:noFill/>
                  </a:ln>
                </pic:spPr>
              </pic:pic>
            </a:graphicData>
          </a:graphic>
        </wp:inline>
      </w:drawing>
    </w:r>
    <w:r>
      <w:rPr>
        <w:b/>
        <w:noProof/>
        <w:u w:val="single"/>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194310</wp:posOffset>
              </wp:positionV>
              <wp:extent cx="1085850" cy="971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5850" cy="971550"/>
                      </a:xfrm>
                      <a:prstGeom prst="rect">
                        <a:avLst/>
                      </a:prstGeom>
                      <a:solidFill>
                        <a:schemeClr val="lt1"/>
                      </a:solidFill>
                      <a:ln w="6350">
                        <a:noFill/>
                      </a:ln>
                    </wps:spPr>
                    <wps:txbx>
                      <w:txbxContent>
                        <w:p w:rsidR="001728A0" w:rsidRDefault="00172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5pt;margin-top:15.3pt;width:85.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" fillcolor="white [3201]" stroked="f" strokeweight=".5pt">
              <v:textbox>
                <w:txbxContent>
                  <w:p w:rsidR="001728A0" w:rsidRDefault="001728A0"/>
                </w:txbxContent>
              </v:textbox>
            </v:shape>
          </w:pict>
        </mc:Fallback>
      </mc:AlternateContent>
    </w:r>
  </w:p>
  <w:p w:rsidR="004551E5" w:rsidRPr="00FE3F21" w:rsidRDefault="004551E5" w:rsidP="004551E5">
    <w:pPr>
      <w:jc w:val="center"/>
      <w:rPr>
        <w:rFonts w:ascii="Baskerville Old Face" w:hAnsi="Baskerville Old Face"/>
        <w:b/>
        <w:sz w:val="28"/>
        <w:szCs w:val="28"/>
      </w:rPr>
    </w:pPr>
    <w:r w:rsidRPr="00FE3F21">
      <w:rPr>
        <w:rFonts w:ascii="Baskerville Old Face" w:hAnsi="Baskerville Old Face"/>
        <w:b/>
        <w:sz w:val="28"/>
        <w:szCs w:val="28"/>
      </w:rPr>
      <w:t>Jackson County Department of Public Health</w:t>
    </w:r>
  </w:p>
  <w:p w:rsidR="004551E5" w:rsidRPr="00592FA3" w:rsidRDefault="001728A0" w:rsidP="001728A0">
    <w:pPr>
      <w:tabs>
        <w:tab w:val="left" w:pos="1605"/>
        <w:tab w:val="center" w:pos="4680"/>
      </w:tabs>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sidR="00BF4C6A">
      <w:rPr>
        <w:rFonts w:ascii="Baskerville Old Face" w:hAnsi="Baskerville Old Face"/>
        <w:sz w:val="20"/>
        <w:szCs w:val="20"/>
      </w:rPr>
      <w:t>154 Medical Park Loop</w:t>
    </w:r>
    <w:r w:rsidR="004551E5" w:rsidRPr="00592FA3">
      <w:rPr>
        <w:rFonts w:ascii="Baskerville Old Face" w:hAnsi="Baskerville Old Face"/>
        <w:sz w:val="20"/>
        <w:szCs w:val="20"/>
      </w:rPr>
      <w:t xml:space="preserve">  </w:t>
    </w:r>
    <w:r w:rsidR="004551E5" w:rsidRPr="00592FA3">
      <w:rPr>
        <w:rFonts w:ascii="Baskerville Old Face" w:hAnsi="Baskerville Old Face"/>
        <w:sz w:val="20"/>
        <w:szCs w:val="20"/>
      </w:rPr>
      <w:sym w:font="Wingdings 2" w:char="F097"/>
    </w:r>
    <w:r w:rsidR="004551E5" w:rsidRPr="00592FA3">
      <w:rPr>
        <w:rFonts w:ascii="Baskerville Old Face" w:hAnsi="Baskerville Old Face"/>
        <w:sz w:val="20"/>
        <w:szCs w:val="20"/>
      </w:rPr>
      <w:t xml:space="preserve">  Sylva, NC 28779</w:t>
    </w:r>
  </w:p>
  <w:p w:rsidR="004551E5" w:rsidRPr="00592FA3" w:rsidRDefault="004551E5" w:rsidP="004551E5">
    <w:pPr>
      <w:jc w:val="center"/>
      <w:rPr>
        <w:rFonts w:ascii="Baskerville Old Face" w:hAnsi="Baskerville Old Face"/>
        <w:sz w:val="20"/>
        <w:szCs w:val="20"/>
      </w:rPr>
    </w:pPr>
    <w:r w:rsidRPr="00592FA3">
      <w:rPr>
        <w:rFonts w:ascii="Baskerville Old Face" w:hAnsi="Baskerville Old Face"/>
        <w:sz w:val="20"/>
        <w:szCs w:val="20"/>
      </w:rPr>
      <w:t xml:space="preserve">Tel: 828-586-8994 </w:t>
    </w:r>
    <w:r w:rsidRPr="00592FA3">
      <w:rPr>
        <w:rFonts w:ascii="Baskerville Old Face" w:hAnsi="Baskerville Old Face"/>
        <w:sz w:val="20"/>
        <w:szCs w:val="20"/>
      </w:rPr>
      <w:sym w:font="Wingdings 2" w:char="F097"/>
    </w:r>
    <w:r w:rsidRPr="00592FA3">
      <w:rPr>
        <w:rFonts w:ascii="Baskerville Old Face" w:hAnsi="Baskerville Old Face"/>
        <w:sz w:val="20"/>
        <w:szCs w:val="20"/>
      </w:rPr>
      <w:t xml:space="preserve"> FAX: 828-586-3493</w:t>
    </w:r>
  </w:p>
  <w:p w:rsidR="004551E5" w:rsidRPr="00592FA3" w:rsidRDefault="004551E5" w:rsidP="004551E5">
    <w:pPr>
      <w:jc w:val="center"/>
      <w:rPr>
        <w:rFonts w:ascii="Baskerville Old Face" w:hAnsi="Baskerville Old Face"/>
        <w:sz w:val="20"/>
        <w:szCs w:val="20"/>
      </w:rPr>
    </w:pPr>
    <w:r>
      <w:rPr>
        <w:rFonts w:ascii="Baskerville Old Face" w:hAnsi="Baskerville Old Face"/>
        <w:sz w:val="20"/>
        <w:szCs w:val="20"/>
      </w:rPr>
      <w:t>Shelley Carraway</w:t>
    </w:r>
  </w:p>
  <w:p w:rsidR="004551E5" w:rsidRDefault="004551E5" w:rsidP="004551E5">
    <w:pPr>
      <w:jc w:val="center"/>
      <w:rPr>
        <w:rFonts w:ascii="Baskerville Old Face" w:hAnsi="Baskerville Old Face"/>
        <w:sz w:val="18"/>
        <w:szCs w:val="18"/>
      </w:rPr>
    </w:pPr>
    <w:r>
      <w:rPr>
        <w:rFonts w:ascii="Baskerville Old Face" w:hAnsi="Baskerville Old Face"/>
        <w:sz w:val="18"/>
        <w:szCs w:val="18"/>
      </w:rPr>
      <w:t>DIRECTOR</w:t>
    </w:r>
  </w:p>
  <w:p w:rsidR="004551E5" w:rsidRDefault="004551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7D7"/>
    <w:multiLevelType w:val="hybridMultilevel"/>
    <w:tmpl w:val="35BE33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54339ED"/>
    <w:multiLevelType w:val="hybridMultilevel"/>
    <w:tmpl w:val="F866F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FA3078"/>
    <w:multiLevelType w:val="hybridMultilevel"/>
    <w:tmpl w:val="927C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528BD"/>
    <w:multiLevelType w:val="hybridMultilevel"/>
    <w:tmpl w:val="C9E4AC76"/>
    <w:lvl w:ilvl="0" w:tplc="34667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E0"/>
    <w:rsid w:val="00043CF3"/>
    <w:rsid w:val="00062592"/>
    <w:rsid w:val="00066555"/>
    <w:rsid w:val="00072348"/>
    <w:rsid w:val="000B4000"/>
    <w:rsid w:val="000E0E83"/>
    <w:rsid w:val="00166533"/>
    <w:rsid w:val="001728A0"/>
    <w:rsid w:val="00184F42"/>
    <w:rsid w:val="001941A1"/>
    <w:rsid w:val="001B7405"/>
    <w:rsid w:val="001C4A79"/>
    <w:rsid w:val="001E335D"/>
    <w:rsid w:val="002217BC"/>
    <w:rsid w:val="00267DA9"/>
    <w:rsid w:val="0033654C"/>
    <w:rsid w:val="003D4B3B"/>
    <w:rsid w:val="004360D7"/>
    <w:rsid w:val="004551E5"/>
    <w:rsid w:val="004E24BA"/>
    <w:rsid w:val="004F1F85"/>
    <w:rsid w:val="004F5F9C"/>
    <w:rsid w:val="004F63E8"/>
    <w:rsid w:val="005033C6"/>
    <w:rsid w:val="005F5E74"/>
    <w:rsid w:val="00612FB3"/>
    <w:rsid w:val="006648AE"/>
    <w:rsid w:val="006D3179"/>
    <w:rsid w:val="00714EE0"/>
    <w:rsid w:val="00716B0E"/>
    <w:rsid w:val="007763BD"/>
    <w:rsid w:val="007B4910"/>
    <w:rsid w:val="007C6CF8"/>
    <w:rsid w:val="00832741"/>
    <w:rsid w:val="00854E6A"/>
    <w:rsid w:val="008551E0"/>
    <w:rsid w:val="00884CB0"/>
    <w:rsid w:val="008A472D"/>
    <w:rsid w:val="008F443D"/>
    <w:rsid w:val="0090758E"/>
    <w:rsid w:val="00973D03"/>
    <w:rsid w:val="009B1C17"/>
    <w:rsid w:val="009D4E7C"/>
    <w:rsid w:val="009E7FF1"/>
    <w:rsid w:val="00A05126"/>
    <w:rsid w:val="00AD4F23"/>
    <w:rsid w:val="00B40B8E"/>
    <w:rsid w:val="00B56805"/>
    <w:rsid w:val="00BC7AE0"/>
    <w:rsid w:val="00BE3DDC"/>
    <w:rsid w:val="00BF4C6A"/>
    <w:rsid w:val="00C2452D"/>
    <w:rsid w:val="00C827CD"/>
    <w:rsid w:val="00CA41CB"/>
    <w:rsid w:val="00CF49FA"/>
    <w:rsid w:val="00D04DA0"/>
    <w:rsid w:val="00D31255"/>
    <w:rsid w:val="00DF126A"/>
    <w:rsid w:val="00E027A7"/>
    <w:rsid w:val="00E9343A"/>
    <w:rsid w:val="00F427C4"/>
    <w:rsid w:val="00F7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E41B5-1B93-45F4-B687-411B01D3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EE0"/>
    <w:rPr>
      <w:rFonts w:ascii="Tahoma" w:hAnsi="Tahoma" w:cs="Tahoma"/>
      <w:sz w:val="16"/>
      <w:szCs w:val="16"/>
    </w:rPr>
  </w:style>
  <w:style w:type="character" w:customStyle="1" w:styleId="BalloonTextChar">
    <w:name w:val="Balloon Text Char"/>
    <w:basedOn w:val="DefaultParagraphFont"/>
    <w:link w:val="BalloonText"/>
    <w:uiPriority w:val="99"/>
    <w:semiHidden/>
    <w:rsid w:val="00714EE0"/>
    <w:rPr>
      <w:rFonts w:ascii="Tahoma" w:eastAsia="Times New Roman" w:hAnsi="Tahoma" w:cs="Tahoma"/>
      <w:sz w:val="16"/>
      <w:szCs w:val="16"/>
    </w:rPr>
  </w:style>
  <w:style w:type="paragraph" w:styleId="ListParagraph">
    <w:name w:val="List Paragraph"/>
    <w:basedOn w:val="Normal"/>
    <w:uiPriority w:val="34"/>
    <w:qFormat/>
    <w:rsid w:val="004F5F9C"/>
    <w:pPr>
      <w:ind w:left="720"/>
      <w:contextualSpacing/>
    </w:pPr>
  </w:style>
  <w:style w:type="paragraph" w:styleId="Header">
    <w:name w:val="header"/>
    <w:basedOn w:val="Normal"/>
    <w:link w:val="HeaderChar"/>
    <w:uiPriority w:val="99"/>
    <w:unhideWhenUsed/>
    <w:rsid w:val="001C4A79"/>
    <w:pPr>
      <w:tabs>
        <w:tab w:val="center" w:pos="4680"/>
        <w:tab w:val="right" w:pos="9360"/>
      </w:tabs>
    </w:pPr>
  </w:style>
  <w:style w:type="character" w:customStyle="1" w:styleId="HeaderChar">
    <w:name w:val="Header Char"/>
    <w:basedOn w:val="DefaultParagraphFont"/>
    <w:link w:val="Header"/>
    <w:uiPriority w:val="99"/>
    <w:rsid w:val="001C4A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4A79"/>
    <w:pPr>
      <w:tabs>
        <w:tab w:val="center" w:pos="4680"/>
        <w:tab w:val="right" w:pos="9360"/>
      </w:tabs>
    </w:pPr>
  </w:style>
  <w:style w:type="character" w:customStyle="1" w:styleId="FooterChar">
    <w:name w:val="Footer Char"/>
    <w:basedOn w:val="DefaultParagraphFont"/>
    <w:link w:val="Footer"/>
    <w:uiPriority w:val="99"/>
    <w:rsid w:val="001C4A79"/>
    <w:rPr>
      <w:rFonts w:ascii="Times New Roman" w:eastAsia="Times New Roman" w:hAnsi="Times New Roman" w:cs="Times New Roman"/>
      <w:sz w:val="24"/>
      <w:szCs w:val="24"/>
    </w:rPr>
  </w:style>
  <w:style w:type="table" w:styleId="TableGrid">
    <w:name w:val="Table Grid"/>
    <w:basedOn w:val="TableNormal"/>
    <w:uiPriority w:val="59"/>
    <w:rsid w:val="00664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72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portal/site/uscis/menuitem.eb1d4c2a3e5b9ac89243c6a7543f6d1a/?vgnextoid=75bce2e261405110VgnVCM1000004718190aRCRD&amp;vgnextchannel=75bce2e261405110VgnVCM1000004718190aRC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acksonnc.org/employment-opportuniti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LaNae Barnes</dc:creator>
  <cp:lastModifiedBy>Melissa McKnight</cp:lastModifiedBy>
  <cp:revision>2</cp:revision>
  <cp:lastPrinted>2019-04-03T14:05:00Z</cp:lastPrinted>
  <dcterms:created xsi:type="dcterms:W3CDTF">2019-07-10T19:47:00Z</dcterms:created>
  <dcterms:modified xsi:type="dcterms:W3CDTF">2019-07-10T19:47:00Z</dcterms:modified>
</cp:coreProperties>
</file>