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08441" w14:textId="0FAAE527" w:rsidR="00796BED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  <w:b/>
        </w:rPr>
        <w:t>POSITION STATEMENT:</w:t>
      </w:r>
      <w:r w:rsidRPr="00872105">
        <w:rPr>
          <w:rFonts w:asciiTheme="minorHAnsi" w:hAnsiTheme="minorHAnsi"/>
        </w:rPr>
        <w:t xml:space="preserve"> </w:t>
      </w:r>
      <w:r w:rsidR="009629C2">
        <w:rPr>
          <w:rFonts w:asciiTheme="minorHAnsi" w:hAnsiTheme="minorHAnsi"/>
        </w:rPr>
        <w:t>Implementation of 41°</w:t>
      </w:r>
      <w:r w:rsidR="009629C2" w:rsidRPr="00872105">
        <w:rPr>
          <w:rFonts w:asciiTheme="minorHAnsi" w:hAnsiTheme="minorHAnsi"/>
        </w:rPr>
        <w:t xml:space="preserve">F </w:t>
      </w:r>
      <w:r w:rsidRPr="00872105">
        <w:rPr>
          <w:rFonts w:asciiTheme="minorHAnsi" w:hAnsiTheme="minorHAnsi"/>
        </w:rPr>
        <w:t xml:space="preserve">Cold Holding </w:t>
      </w:r>
      <w:r w:rsidR="000440CE">
        <w:rPr>
          <w:rFonts w:asciiTheme="minorHAnsi" w:hAnsiTheme="minorHAnsi"/>
        </w:rPr>
        <w:t>effective</w:t>
      </w:r>
      <w:r w:rsidRPr="00872105">
        <w:rPr>
          <w:rFonts w:asciiTheme="minorHAnsi" w:hAnsiTheme="minorHAnsi"/>
        </w:rPr>
        <w:t xml:space="preserve"> January 1, 2019</w:t>
      </w:r>
    </w:p>
    <w:p w14:paraId="4B5CE41A" w14:textId="45A7A51E" w:rsidR="009629C2" w:rsidRDefault="009629C2" w:rsidP="00796BED">
      <w:pPr>
        <w:rPr>
          <w:rFonts w:asciiTheme="minorHAnsi" w:hAnsiTheme="minorHAnsi"/>
        </w:rPr>
      </w:pPr>
    </w:p>
    <w:p w14:paraId="4B764A69" w14:textId="32890C47" w:rsidR="009629C2" w:rsidRPr="00872105" w:rsidRDefault="009629C2" w:rsidP="00796BED">
      <w:pPr>
        <w:rPr>
          <w:rFonts w:asciiTheme="minorHAnsi" w:hAnsiTheme="minorHAnsi"/>
        </w:rPr>
      </w:pPr>
      <w:r w:rsidRPr="00321992">
        <w:rPr>
          <w:rFonts w:asciiTheme="minorHAnsi" w:hAnsiTheme="minorHAnsi"/>
          <w:b/>
        </w:rPr>
        <w:t>PURSUANT TO:</w:t>
      </w:r>
      <w:r>
        <w:rPr>
          <w:rFonts w:asciiTheme="minorHAnsi" w:hAnsiTheme="minorHAnsi"/>
        </w:rPr>
        <w:t xml:space="preserve"> North Carolina Food Code Manual. Part 3-5 </w:t>
      </w:r>
    </w:p>
    <w:p w14:paraId="1C3E6BD6" w14:textId="77777777" w:rsidR="00796BED" w:rsidRPr="00872105" w:rsidRDefault="00796BED" w:rsidP="00796BED">
      <w:pPr>
        <w:rPr>
          <w:rFonts w:asciiTheme="minorHAnsi" w:hAnsiTheme="minorHAnsi"/>
        </w:rPr>
      </w:pPr>
    </w:p>
    <w:p w14:paraId="21BBA964" w14:textId="4EA8DE0D" w:rsidR="00796BED" w:rsidRPr="00872105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  <w:b/>
        </w:rPr>
        <w:t>SOURCE:</w:t>
      </w:r>
      <w:r w:rsidRPr="00872105">
        <w:rPr>
          <w:rFonts w:asciiTheme="minorHAnsi" w:hAnsiTheme="minorHAnsi"/>
        </w:rPr>
        <w:t xml:space="preserve"> Shane Smith, REHS</w:t>
      </w:r>
      <w:r w:rsidR="009629C2">
        <w:rPr>
          <w:rFonts w:asciiTheme="minorHAnsi" w:hAnsiTheme="minorHAnsi"/>
        </w:rPr>
        <w:t>,</w:t>
      </w:r>
      <w:r w:rsidRPr="00872105">
        <w:rPr>
          <w:rFonts w:asciiTheme="minorHAnsi" w:hAnsiTheme="minorHAnsi"/>
        </w:rPr>
        <w:t xml:space="preserve"> </w:t>
      </w:r>
      <w:r w:rsidR="00500FAF">
        <w:rPr>
          <w:rFonts w:asciiTheme="minorHAnsi" w:hAnsiTheme="minorHAnsi"/>
        </w:rPr>
        <w:t xml:space="preserve">Branch </w:t>
      </w:r>
      <w:r w:rsidRPr="00872105">
        <w:rPr>
          <w:rFonts w:asciiTheme="minorHAnsi" w:hAnsiTheme="minorHAnsi"/>
        </w:rPr>
        <w:t xml:space="preserve">Head, Food Protection and Facilities Branch </w:t>
      </w:r>
    </w:p>
    <w:p w14:paraId="375E2118" w14:textId="77777777" w:rsidR="00796BED" w:rsidRPr="00872105" w:rsidRDefault="00796BED" w:rsidP="00796BED">
      <w:pPr>
        <w:rPr>
          <w:rFonts w:asciiTheme="minorHAnsi" w:hAnsiTheme="minorHAnsi"/>
        </w:rPr>
      </w:pPr>
    </w:p>
    <w:p w14:paraId="31285F4D" w14:textId="09BC319F" w:rsidR="00796BED" w:rsidRPr="00872105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  <w:b/>
        </w:rPr>
        <w:t>QUESTION/ISSUE:</w:t>
      </w:r>
      <w:r w:rsidRPr="00872105">
        <w:rPr>
          <w:rFonts w:asciiTheme="minorHAnsi" w:hAnsiTheme="minorHAnsi"/>
        </w:rPr>
        <w:t xml:space="preserve"> Clarification of enforcement actions </w:t>
      </w:r>
      <w:r w:rsidR="009629C2">
        <w:rPr>
          <w:rFonts w:asciiTheme="minorHAnsi" w:hAnsiTheme="minorHAnsi"/>
        </w:rPr>
        <w:t>for</w:t>
      </w:r>
      <w:r w:rsidR="009629C2" w:rsidRPr="00872105">
        <w:rPr>
          <w:rFonts w:asciiTheme="minorHAnsi" w:hAnsiTheme="minorHAnsi"/>
        </w:rPr>
        <w:t xml:space="preserve"> </w:t>
      </w:r>
      <w:r w:rsidRPr="00872105">
        <w:rPr>
          <w:rFonts w:asciiTheme="minorHAnsi" w:hAnsiTheme="minorHAnsi"/>
        </w:rPr>
        <w:t xml:space="preserve">cold holding </w:t>
      </w:r>
      <w:r w:rsidR="009629C2">
        <w:rPr>
          <w:rFonts w:asciiTheme="minorHAnsi" w:hAnsiTheme="minorHAnsi"/>
        </w:rPr>
        <w:t>requirements regarding</w:t>
      </w:r>
      <w:r w:rsidRPr="00872105">
        <w:rPr>
          <w:rFonts w:asciiTheme="minorHAnsi" w:hAnsiTheme="minorHAnsi"/>
        </w:rPr>
        <w:t xml:space="preserve"> 41</w:t>
      </w:r>
      <w:bookmarkStart w:id="0" w:name="_Hlk531269757"/>
      <w:r>
        <w:rPr>
          <w:rFonts w:asciiTheme="minorHAnsi" w:hAnsiTheme="minorHAnsi"/>
        </w:rPr>
        <w:t>°</w:t>
      </w:r>
      <w:r w:rsidRPr="00872105">
        <w:rPr>
          <w:rFonts w:asciiTheme="minorHAnsi" w:hAnsiTheme="minorHAnsi"/>
        </w:rPr>
        <w:t>F</w:t>
      </w:r>
      <w:bookmarkEnd w:id="0"/>
      <w:r w:rsidRPr="00872105">
        <w:rPr>
          <w:rFonts w:asciiTheme="minorHAnsi" w:hAnsiTheme="minorHAnsi"/>
        </w:rPr>
        <w:t xml:space="preserve"> or below.</w:t>
      </w:r>
    </w:p>
    <w:p w14:paraId="74DCCEAF" w14:textId="77777777" w:rsidR="00796BED" w:rsidRPr="00872105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</w:rPr>
        <w:t xml:space="preserve"> </w:t>
      </w:r>
    </w:p>
    <w:p w14:paraId="0B6CA871" w14:textId="77777777" w:rsidR="009629C2" w:rsidRDefault="00796BED" w:rsidP="00796BED">
      <w:pPr>
        <w:rPr>
          <w:rFonts w:asciiTheme="minorHAnsi" w:hAnsiTheme="minorHAnsi" w:cs="Arial"/>
          <w:b/>
        </w:rPr>
      </w:pPr>
      <w:r w:rsidRPr="00872105">
        <w:rPr>
          <w:rFonts w:asciiTheme="minorHAnsi" w:hAnsiTheme="minorHAnsi" w:cs="Arial"/>
          <w:b/>
        </w:rPr>
        <w:t xml:space="preserve">DISCUSSION AND RATIONALE: </w:t>
      </w:r>
    </w:p>
    <w:p w14:paraId="3CFF51AF" w14:textId="0173D38C" w:rsidR="001B06B1" w:rsidRDefault="009629C2" w:rsidP="00796B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2012, the Commission for Public Health adopted the 2009 FDA Food Code. Because of concerns raised by industry, it was decided to phase in the 41</w:t>
      </w:r>
      <w:r>
        <w:rPr>
          <w:rFonts w:asciiTheme="minorHAnsi" w:hAnsiTheme="minorHAnsi"/>
        </w:rPr>
        <w:t>°</w:t>
      </w:r>
      <w:r w:rsidRPr="00872105">
        <w:rPr>
          <w:rFonts w:asciiTheme="minorHAnsi" w:hAnsiTheme="minorHAnsi"/>
        </w:rPr>
        <w:t>F</w:t>
      </w:r>
      <w:r w:rsidRPr="0087210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cold holding requirement over</w:t>
      </w:r>
      <w:r w:rsidR="001A562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 six</w:t>
      </w:r>
      <w:r w:rsidR="001A5627">
        <w:rPr>
          <w:rFonts w:asciiTheme="minorHAnsi" w:hAnsiTheme="minorHAnsi" w:cs="Arial"/>
        </w:rPr>
        <w:t>-</w:t>
      </w:r>
      <w:r>
        <w:rPr>
          <w:rFonts w:asciiTheme="minorHAnsi" w:hAnsiTheme="minorHAnsi" w:cs="Arial"/>
        </w:rPr>
        <w:t xml:space="preserve">year period with an implementation date of January 1, 2019. </w:t>
      </w:r>
      <w:r w:rsidR="00796BED" w:rsidRPr="00872105">
        <w:rPr>
          <w:rFonts w:asciiTheme="minorHAnsi" w:hAnsiTheme="minorHAnsi" w:cs="Arial"/>
        </w:rPr>
        <w:t xml:space="preserve">Local Health Departments have requested guidance regarding the </w:t>
      </w:r>
      <w:r w:rsidR="001A5627">
        <w:rPr>
          <w:rFonts w:asciiTheme="minorHAnsi" w:hAnsiTheme="minorHAnsi" w:cs="Arial"/>
        </w:rPr>
        <w:t>implementation of the 41</w:t>
      </w:r>
      <w:r w:rsidR="001A5627">
        <w:rPr>
          <w:rFonts w:asciiTheme="minorHAnsi" w:hAnsiTheme="minorHAnsi"/>
        </w:rPr>
        <w:t>°</w:t>
      </w:r>
      <w:r w:rsidR="001A5627" w:rsidRPr="00872105">
        <w:rPr>
          <w:rFonts w:asciiTheme="minorHAnsi" w:hAnsiTheme="minorHAnsi"/>
        </w:rPr>
        <w:t>F</w:t>
      </w:r>
      <w:r w:rsidR="001A5627">
        <w:rPr>
          <w:rFonts w:asciiTheme="minorHAnsi" w:hAnsiTheme="minorHAnsi" w:cs="Arial"/>
        </w:rPr>
        <w:t xml:space="preserve"> </w:t>
      </w:r>
      <w:r w:rsidR="00796BED" w:rsidRPr="00872105">
        <w:rPr>
          <w:rFonts w:asciiTheme="minorHAnsi" w:hAnsiTheme="minorHAnsi" w:cs="Arial"/>
        </w:rPr>
        <w:t xml:space="preserve">cold holding requirement. On </w:t>
      </w:r>
      <w:r w:rsidR="001B06B1">
        <w:rPr>
          <w:rFonts w:asciiTheme="minorHAnsi" w:hAnsiTheme="minorHAnsi" w:cs="Arial"/>
        </w:rPr>
        <w:t>January 1</w:t>
      </w:r>
      <w:r w:rsidR="001921C1">
        <w:rPr>
          <w:rFonts w:asciiTheme="minorHAnsi" w:hAnsiTheme="minorHAnsi" w:cs="Arial"/>
        </w:rPr>
        <w:t>,</w:t>
      </w:r>
      <w:r w:rsidR="00796BED" w:rsidRPr="00872105">
        <w:rPr>
          <w:rFonts w:asciiTheme="minorHAnsi" w:hAnsiTheme="minorHAnsi" w:cs="Arial"/>
        </w:rPr>
        <w:t xml:space="preserve"> the requirements for cold holding will change from 45</w:t>
      </w:r>
      <w:r w:rsidR="00796BED">
        <w:rPr>
          <w:rFonts w:asciiTheme="minorHAnsi" w:hAnsiTheme="minorHAnsi" w:cs="Cambria Math"/>
        </w:rPr>
        <w:t>°</w:t>
      </w:r>
      <w:r w:rsidR="00796BED" w:rsidRPr="00872105">
        <w:rPr>
          <w:rFonts w:asciiTheme="minorHAnsi" w:hAnsiTheme="minorHAnsi" w:cs="Arial"/>
        </w:rPr>
        <w:t>F or below to 41</w:t>
      </w:r>
      <w:r w:rsidR="00796BED">
        <w:rPr>
          <w:rFonts w:asciiTheme="minorHAnsi" w:hAnsiTheme="minorHAnsi" w:cs="Cambria Math"/>
        </w:rPr>
        <w:t>°</w:t>
      </w:r>
      <w:r w:rsidR="00796BED" w:rsidRPr="00872105">
        <w:rPr>
          <w:rFonts w:asciiTheme="minorHAnsi" w:hAnsiTheme="minorHAnsi" w:cs="Arial"/>
        </w:rPr>
        <w:t>F o</w:t>
      </w:r>
      <w:r w:rsidR="00500FAF">
        <w:rPr>
          <w:rFonts w:asciiTheme="minorHAnsi" w:hAnsiTheme="minorHAnsi" w:cs="Arial"/>
        </w:rPr>
        <w:t>r</w:t>
      </w:r>
      <w:r w:rsidR="00796BED" w:rsidRPr="00872105">
        <w:rPr>
          <w:rFonts w:asciiTheme="minorHAnsi" w:hAnsiTheme="minorHAnsi" w:cs="Arial"/>
        </w:rPr>
        <w:t xml:space="preserve"> below</w:t>
      </w:r>
      <w:r w:rsidR="000440CE">
        <w:rPr>
          <w:rFonts w:asciiTheme="minorHAnsi" w:hAnsiTheme="minorHAnsi" w:cs="Arial"/>
        </w:rPr>
        <w:t xml:space="preserve">, </w:t>
      </w:r>
      <w:r w:rsidR="000440CE" w:rsidRPr="000440CE">
        <w:t>per 3-501.16(A)(2) of the NC Food Code</w:t>
      </w:r>
      <w:r w:rsidR="00796BED" w:rsidRPr="00872105">
        <w:rPr>
          <w:rFonts w:asciiTheme="minorHAnsi" w:hAnsiTheme="minorHAnsi" w:cs="Arial"/>
        </w:rPr>
        <w:t xml:space="preserve">. </w:t>
      </w:r>
    </w:p>
    <w:p w14:paraId="178C725F" w14:textId="77777777" w:rsidR="001B06B1" w:rsidRDefault="001B06B1" w:rsidP="00796BED">
      <w:pPr>
        <w:rPr>
          <w:rFonts w:asciiTheme="minorHAnsi" w:hAnsiTheme="minorHAnsi" w:cs="Arial"/>
        </w:rPr>
      </w:pPr>
    </w:p>
    <w:p w14:paraId="42FB6A2A" w14:textId="7BBF3713" w:rsidR="001453CF" w:rsidRDefault="001B06B1" w:rsidP="00796BE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With respect to embargo</w:t>
      </w:r>
      <w:r w:rsidR="00A478C4">
        <w:rPr>
          <w:rFonts w:asciiTheme="minorHAnsi" w:hAnsiTheme="minorHAnsi" w:cs="Arial"/>
        </w:rPr>
        <w:t xml:space="preserve"> of food stored between 42-45</w:t>
      </w:r>
      <w:r w:rsidR="00A478C4">
        <w:rPr>
          <w:rFonts w:asciiTheme="minorHAnsi" w:hAnsiTheme="minorHAnsi"/>
        </w:rPr>
        <w:t>°</w:t>
      </w:r>
      <w:r w:rsidR="00A478C4" w:rsidRPr="00872105">
        <w:rPr>
          <w:rFonts w:asciiTheme="minorHAnsi" w:hAnsiTheme="minorHAnsi"/>
        </w:rPr>
        <w:t>F</w:t>
      </w:r>
      <w:r>
        <w:rPr>
          <w:rFonts w:asciiTheme="minorHAnsi" w:hAnsiTheme="minorHAnsi" w:cs="Arial"/>
        </w:rPr>
        <w:t xml:space="preserve">, the </w:t>
      </w:r>
      <w:r w:rsidR="001921C1">
        <w:rPr>
          <w:rFonts w:asciiTheme="minorHAnsi" w:hAnsiTheme="minorHAnsi" w:cs="Arial"/>
        </w:rPr>
        <w:t>North Carolina Department of Health and Human Services’ (NCDHHS)</w:t>
      </w:r>
      <w:r w:rsidR="00796BED" w:rsidRPr="00872105">
        <w:rPr>
          <w:rFonts w:asciiTheme="minorHAnsi" w:hAnsiTheme="minorHAnsi" w:cs="Arial"/>
        </w:rPr>
        <w:t xml:space="preserve"> authority to </w:t>
      </w:r>
      <w:r w:rsidR="006063CD">
        <w:rPr>
          <w:rFonts w:asciiTheme="minorHAnsi" w:hAnsiTheme="minorHAnsi" w:cs="Arial"/>
        </w:rPr>
        <w:t>e</w:t>
      </w:r>
      <w:r w:rsidR="00796BED" w:rsidRPr="00872105">
        <w:rPr>
          <w:rFonts w:asciiTheme="minorHAnsi" w:hAnsiTheme="minorHAnsi" w:cs="Arial"/>
        </w:rPr>
        <w:t>mbargo</w:t>
      </w:r>
      <w:r>
        <w:rPr>
          <w:rFonts w:asciiTheme="minorHAnsi" w:hAnsiTheme="minorHAnsi" w:cs="Arial"/>
        </w:rPr>
        <w:t xml:space="preserve"> (NCGS 130A-21)</w:t>
      </w:r>
      <w:r w:rsidR="00796BED" w:rsidRPr="00872105">
        <w:rPr>
          <w:rFonts w:asciiTheme="minorHAnsi" w:hAnsiTheme="minorHAnsi" w:cs="Arial"/>
        </w:rPr>
        <w:t xml:space="preserve"> is </w:t>
      </w:r>
      <w:r>
        <w:rPr>
          <w:rFonts w:asciiTheme="minorHAnsi" w:hAnsiTheme="minorHAnsi" w:cs="Arial"/>
        </w:rPr>
        <w:t>subject to the</w:t>
      </w:r>
      <w:r w:rsidR="00796BED" w:rsidRPr="00872105">
        <w:rPr>
          <w:rFonts w:asciiTheme="minorHAnsi" w:hAnsiTheme="minorHAnsi" w:cs="Arial"/>
          <w:b/>
        </w:rPr>
        <w:t xml:space="preserve"> </w:t>
      </w:r>
      <w:r w:rsidR="00796BED" w:rsidRPr="00872105">
        <w:rPr>
          <w:rFonts w:asciiTheme="minorHAnsi" w:hAnsiTheme="minorHAnsi" w:cs="Arial"/>
        </w:rPr>
        <w:t xml:space="preserve">North Carolina Department of Agriculture </w:t>
      </w:r>
      <w:r>
        <w:rPr>
          <w:rFonts w:asciiTheme="minorHAnsi" w:hAnsiTheme="minorHAnsi" w:cs="Arial"/>
        </w:rPr>
        <w:t xml:space="preserve">and Consumer Services </w:t>
      </w:r>
      <w:r w:rsidR="00796BED" w:rsidRPr="00872105">
        <w:rPr>
          <w:rFonts w:asciiTheme="minorHAnsi" w:hAnsiTheme="minorHAnsi" w:cs="Arial"/>
        </w:rPr>
        <w:t>(NCDA</w:t>
      </w:r>
      <w:r>
        <w:rPr>
          <w:rFonts w:asciiTheme="minorHAnsi" w:hAnsiTheme="minorHAnsi" w:cs="Arial"/>
        </w:rPr>
        <w:t>&amp;CS</w:t>
      </w:r>
      <w:r w:rsidR="00796BED" w:rsidRPr="00872105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definition of </w:t>
      </w:r>
      <w:r w:rsidRPr="00321992">
        <w:rPr>
          <w:rFonts w:asciiTheme="minorHAnsi" w:hAnsiTheme="minorHAnsi" w:cs="Arial"/>
          <w:i/>
        </w:rPr>
        <w:t>adulterated</w:t>
      </w:r>
      <w:r>
        <w:rPr>
          <w:rFonts w:asciiTheme="minorHAnsi" w:hAnsiTheme="minorHAnsi" w:cs="Arial"/>
        </w:rPr>
        <w:t xml:space="preserve"> in NCGS 106-129</w:t>
      </w:r>
      <w:r w:rsidR="00796BED" w:rsidRPr="00872105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NCDA&amp;CS</w:t>
      </w:r>
      <w:r w:rsidR="00B85C32">
        <w:rPr>
          <w:rFonts w:asciiTheme="minorHAnsi" w:hAnsiTheme="minorHAnsi" w:cs="Arial"/>
        </w:rPr>
        <w:t xml:space="preserve"> </w:t>
      </w:r>
      <w:r w:rsidR="00FB1337">
        <w:rPr>
          <w:rFonts w:asciiTheme="minorHAnsi" w:hAnsiTheme="minorHAnsi" w:cs="Arial"/>
        </w:rPr>
        <w:t>advises</w:t>
      </w:r>
      <w:r w:rsidR="00C91BF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f</w:t>
      </w:r>
      <w:r w:rsidRPr="00872105">
        <w:rPr>
          <w:rFonts w:asciiTheme="minorHAnsi" w:hAnsiTheme="minorHAnsi" w:cs="Arial"/>
        </w:rPr>
        <w:t xml:space="preserve">ood </w:t>
      </w:r>
      <w:r w:rsidR="00796BED" w:rsidRPr="00872105">
        <w:rPr>
          <w:rFonts w:asciiTheme="minorHAnsi" w:hAnsiTheme="minorHAnsi" w:cs="Arial"/>
        </w:rPr>
        <w:t>stored between 42-4</w:t>
      </w:r>
      <w:r w:rsidR="00796BED">
        <w:rPr>
          <w:rFonts w:asciiTheme="minorHAnsi" w:hAnsiTheme="minorHAnsi" w:cs="Arial"/>
        </w:rPr>
        <w:t>5°F</w:t>
      </w:r>
      <w:r w:rsidR="00796BED" w:rsidRPr="00872105">
        <w:rPr>
          <w:rFonts w:asciiTheme="minorHAnsi" w:hAnsiTheme="minorHAnsi" w:cs="Arial"/>
        </w:rPr>
        <w:t xml:space="preserve"> is not a </w:t>
      </w:r>
      <w:r>
        <w:rPr>
          <w:rFonts w:asciiTheme="minorHAnsi" w:hAnsiTheme="minorHAnsi" w:cs="Arial"/>
        </w:rPr>
        <w:t xml:space="preserve">sole justification </w:t>
      </w:r>
      <w:r w:rsidR="00796BED" w:rsidRPr="00872105">
        <w:rPr>
          <w:rFonts w:asciiTheme="minorHAnsi" w:hAnsiTheme="minorHAnsi" w:cs="Arial"/>
        </w:rPr>
        <w:t xml:space="preserve">to </w:t>
      </w:r>
      <w:r w:rsidR="006063CD">
        <w:rPr>
          <w:rFonts w:asciiTheme="minorHAnsi" w:hAnsiTheme="minorHAnsi" w:cs="Arial"/>
        </w:rPr>
        <w:t>e</w:t>
      </w:r>
      <w:r w:rsidR="00796BED" w:rsidRPr="00872105">
        <w:rPr>
          <w:rFonts w:asciiTheme="minorHAnsi" w:hAnsiTheme="minorHAnsi" w:cs="Arial"/>
        </w:rPr>
        <w:t xml:space="preserve">mbargo. </w:t>
      </w:r>
    </w:p>
    <w:p w14:paraId="12F49E37" w14:textId="77777777" w:rsidR="001453CF" w:rsidRDefault="001453CF" w:rsidP="00796BED">
      <w:pPr>
        <w:rPr>
          <w:rFonts w:asciiTheme="minorHAnsi" w:hAnsiTheme="minorHAnsi"/>
        </w:rPr>
      </w:pPr>
    </w:p>
    <w:p w14:paraId="55F1F4E0" w14:textId="36FC291A" w:rsidR="00796BED" w:rsidRPr="00872105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</w:rPr>
        <w:t xml:space="preserve">The </w:t>
      </w:r>
      <w:r w:rsidR="001453CF">
        <w:rPr>
          <w:rFonts w:asciiTheme="minorHAnsi" w:hAnsiTheme="minorHAnsi"/>
        </w:rPr>
        <w:t>relative</w:t>
      </w:r>
      <w:r w:rsidR="001453CF" w:rsidRPr="00872105">
        <w:rPr>
          <w:rFonts w:asciiTheme="minorHAnsi" w:hAnsiTheme="minorHAnsi"/>
        </w:rPr>
        <w:t xml:space="preserve"> </w:t>
      </w:r>
      <w:r w:rsidRPr="00872105">
        <w:rPr>
          <w:rFonts w:asciiTheme="minorHAnsi" w:hAnsiTheme="minorHAnsi"/>
        </w:rPr>
        <w:t>food code citations and enforcement actions are outlined below.</w:t>
      </w:r>
    </w:p>
    <w:p w14:paraId="3E4C2565" w14:textId="77777777" w:rsidR="00796BED" w:rsidRPr="00872105" w:rsidRDefault="00796BED" w:rsidP="00796BED">
      <w:pPr>
        <w:pStyle w:val="aSection"/>
        <w:rPr>
          <w:rFonts w:asciiTheme="minorHAnsi" w:hAnsiTheme="minorHAnsi" w:cs="Arial"/>
          <w:b w:val="0"/>
          <w:sz w:val="24"/>
          <w:szCs w:val="24"/>
        </w:rPr>
      </w:pPr>
      <w:r w:rsidRPr="00872105">
        <w:rPr>
          <w:rFonts w:asciiTheme="minorHAnsi" w:hAnsiTheme="minorHAnsi" w:cs="Arial"/>
          <w:b w:val="0"/>
        </w:rPr>
        <w:t xml:space="preserve"> </w:t>
      </w:r>
    </w:p>
    <w:p w14:paraId="0A435C60" w14:textId="3CC66DD1" w:rsidR="00796BED" w:rsidRPr="00872105" w:rsidRDefault="00796BED" w:rsidP="00796BED">
      <w:pPr>
        <w:rPr>
          <w:rFonts w:asciiTheme="minorHAnsi" w:hAnsiTheme="minorHAnsi"/>
          <w:b/>
        </w:rPr>
      </w:pPr>
      <w:r w:rsidRPr="00872105">
        <w:rPr>
          <w:rFonts w:asciiTheme="minorHAnsi" w:hAnsiTheme="minorHAnsi"/>
          <w:b/>
        </w:rPr>
        <w:t>RESPONSE/INT</w:t>
      </w:r>
      <w:r w:rsidR="00500FAF">
        <w:rPr>
          <w:rFonts w:asciiTheme="minorHAnsi" w:hAnsiTheme="minorHAnsi"/>
          <w:b/>
        </w:rPr>
        <w:t>ER</w:t>
      </w:r>
      <w:r w:rsidRPr="00872105">
        <w:rPr>
          <w:rFonts w:asciiTheme="minorHAnsi" w:hAnsiTheme="minorHAnsi"/>
          <w:b/>
        </w:rPr>
        <w:t xml:space="preserve">PRETATION: </w:t>
      </w:r>
    </w:p>
    <w:p w14:paraId="553B89B1" w14:textId="77777777" w:rsidR="00796BED" w:rsidRPr="00872105" w:rsidRDefault="00796BED" w:rsidP="00796BED">
      <w:pPr>
        <w:rPr>
          <w:rFonts w:asciiTheme="minorHAnsi" w:hAnsiTheme="minorHAnsi"/>
          <w:b/>
        </w:rPr>
      </w:pPr>
    </w:p>
    <w:p w14:paraId="6AE4E0D2" w14:textId="7E1439E7" w:rsidR="00796BED" w:rsidRDefault="00796BED" w:rsidP="00796BED">
      <w:pPr>
        <w:rPr>
          <w:rFonts w:asciiTheme="minorHAnsi" w:hAnsiTheme="minorHAnsi"/>
          <w:spacing w:val="-1"/>
        </w:rPr>
      </w:pPr>
      <w:r w:rsidRPr="00872105">
        <w:rPr>
          <w:rFonts w:asciiTheme="minorHAnsi" w:hAnsiTheme="minorHAnsi"/>
          <w:b/>
          <w:i/>
          <w:spacing w:val="-1"/>
        </w:rPr>
        <w:t>Cold Holding-3-501.16(A)(2)</w:t>
      </w:r>
      <w:r w:rsidRPr="00872105">
        <w:rPr>
          <w:rFonts w:asciiTheme="minorHAnsi" w:hAnsiTheme="minorHAnsi"/>
          <w:b/>
          <w:i/>
          <w:spacing w:val="-10"/>
        </w:rPr>
        <w:t xml:space="preserve"> </w:t>
      </w:r>
      <w:r w:rsidRPr="00872105">
        <w:rPr>
          <w:rFonts w:asciiTheme="minorHAnsi" w:hAnsiTheme="minorHAnsi"/>
          <w:b/>
          <w:i/>
        </w:rPr>
        <w:t>and</w:t>
      </w:r>
      <w:r w:rsidRPr="00872105">
        <w:rPr>
          <w:rFonts w:asciiTheme="minorHAnsi" w:hAnsiTheme="minorHAnsi"/>
          <w:b/>
          <w:i/>
          <w:spacing w:val="-8"/>
        </w:rPr>
        <w:t xml:space="preserve"> </w:t>
      </w:r>
      <w:r w:rsidRPr="00872105">
        <w:rPr>
          <w:rFonts w:asciiTheme="minorHAnsi" w:hAnsiTheme="minorHAnsi"/>
          <w:b/>
          <w:i/>
          <w:spacing w:val="-1"/>
        </w:rPr>
        <w:t>(B)</w:t>
      </w:r>
      <w:r w:rsidRPr="00872105">
        <w:rPr>
          <w:rFonts w:asciiTheme="minorHAnsi" w:hAnsiTheme="minorHAnsi"/>
          <w:spacing w:val="-1"/>
        </w:rPr>
        <w:t xml:space="preserve"> – First inspection* (</w:t>
      </w:r>
      <w:r w:rsidR="000440CE">
        <w:rPr>
          <w:rFonts w:asciiTheme="minorHAnsi" w:hAnsiTheme="minorHAnsi"/>
          <w:spacing w:val="-1"/>
        </w:rPr>
        <w:t xml:space="preserve">on or </w:t>
      </w:r>
      <w:r w:rsidR="00464A34">
        <w:rPr>
          <w:rFonts w:asciiTheme="minorHAnsi" w:hAnsiTheme="minorHAnsi"/>
          <w:spacing w:val="-1"/>
        </w:rPr>
        <w:t xml:space="preserve">after </w:t>
      </w:r>
      <w:r w:rsidR="00F12DB3">
        <w:rPr>
          <w:rFonts w:asciiTheme="minorHAnsi" w:hAnsiTheme="minorHAnsi"/>
          <w:spacing w:val="-1"/>
        </w:rPr>
        <w:t>January 1, 2019</w:t>
      </w:r>
      <w:r w:rsidRPr="00872105">
        <w:rPr>
          <w:rFonts w:asciiTheme="minorHAnsi" w:hAnsiTheme="minorHAnsi"/>
          <w:spacing w:val="-1"/>
        </w:rPr>
        <w:t xml:space="preserve">) </w:t>
      </w:r>
      <w:r w:rsidR="0087062E">
        <w:rPr>
          <w:rFonts w:asciiTheme="minorHAnsi" w:hAnsiTheme="minorHAnsi"/>
          <w:spacing w:val="-1"/>
        </w:rPr>
        <w:t xml:space="preserve">for </w:t>
      </w:r>
      <w:r w:rsidR="00500FAF">
        <w:rPr>
          <w:rFonts w:asciiTheme="minorHAnsi" w:hAnsiTheme="minorHAnsi"/>
          <w:spacing w:val="-1"/>
        </w:rPr>
        <w:t>Time/Temperature Control for Safety</w:t>
      </w:r>
      <w:r w:rsidRPr="00872105">
        <w:rPr>
          <w:rFonts w:asciiTheme="minorHAnsi" w:hAnsiTheme="minorHAnsi"/>
          <w:spacing w:val="-1"/>
        </w:rPr>
        <w:t xml:space="preserve"> </w:t>
      </w:r>
      <w:r w:rsidR="001453CF">
        <w:rPr>
          <w:rFonts w:asciiTheme="minorHAnsi" w:hAnsiTheme="minorHAnsi"/>
          <w:spacing w:val="-1"/>
        </w:rPr>
        <w:t xml:space="preserve">(TCS) </w:t>
      </w:r>
      <w:r w:rsidRPr="00872105">
        <w:rPr>
          <w:rFonts w:asciiTheme="minorHAnsi" w:hAnsiTheme="minorHAnsi"/>
          <w:spacing w:val="-1"/>
        </w:rPr>
        <w:t xml:space="preserve">foods found </w:t>
      </w:r>
      <w:r w:rsidR="001155D0">
        <w:rPr>
          <w:rFonts w:asciiTheme="minorHAnsi" w:hAnsiTheme="minorHAnsi"/>
          <w:spacing w:val="-1"/>
        </w:rPr>
        <w:t>within the</w:t>
      </w:r>
      <w:r w:rsidRPr="00872105">
        <w:rPr>
          <w:rFonts w:asciiTheme="minorHAnsi" w:hAnsiTheme="minorHAnsi"/>
          <w:spacing w:val="-1"/>
        </w:rPr>
        <w:t xml:space="preserve"> 42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>F-45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 xml:space="preserve">F temperature range, mark OUT and take zero points. </w:t>
      </w:r>
      <w:r w:rsidR="001453CF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1453CF">
        <w:rPr>
          <w:rFonts w:asciiTheme="minorHAnsi" w:hAnsiTheme="minorHAnsi"/>
          <w:spacing w:val="-1"/>
        </w:rPr>
        <w:t>should not</w:t>
      </w:r>
      <w:r w:rsidR="001453CF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>be taken dur</w:t>
      </w:r>
      <w:r w:rsidR="00F12DB3">
        <w:rPr>
          <w:rFonts w:asciiTheme="minorHAnsi" w:hAnsiTheme="minorHAnsi"/>
          <w:spacing w:val="-1"/>
        </w:rPr>
        <w:t>ing the first inspection</w:t>
      </w:r>
      <w:r w:rsidR="00A82F20">
        <w:rPr>
          <w:rFonts w:asciiTheme="minorHAnsi" w:hAnsiTheme="minorHAnsi"/>
          <w:spacing w:val="-1"/>
        </w:rPr>
        <w:t xml:space="preserve"> for this violation</w:t>
      </w:r>
      <w:r w:rsidRPr="00872105">
        <w:rPr>
          <w:rFonts w:asciiTheme="minorHAnsi" w:hAnsiTheme="minorHAnsi"/>
          <w:spacing w:val="-1"/>
        </w:rPr>
        <w:t xml:space="preserve">. </w:t>
      </w:r>
    </w:p>
    <w:p w14:paraId="136773F6" w14:textId="77777777" w:rsidR="001C4902" w:rsidRPr="00872105" w:rsidRDefault="001C4902" w:rsidP="00796BED">
      <w:pPr>
        <w:rPr>
          <w:rFonts w:asciiTheme="minorHAnsi" w:hAnsiTheme="minorHAnsi"/>
          <w:b/>
          <w:i/>
        </w:rPr>
      </w:pPr>
    </w:p>
    <w:p w14:paraId="6991CB3A" w14:textId="22F972F9" w:rsidR="00796BED" w:rsidRPr="00F97494" w:rsidRDefault="00796BED" w:rsidP="00796BED">
      <w:pPr>
        <w:rPr>
          <w:rFonts w:asciiTheme="minorHAnsi" w:hAnsiTheme="minorHAnsi"/>
          <w:spacing w:val="-1"/>
        </w:rPr>
      </w:pPr>
      <w:r w:rsidRPr="00872105">
        <w:rPr>
          <w:rFonts w:asciiTheme="minorHAnsi" w:hAnsiTheme="minorHAnsi"/>
          <w:b/>
          <w:i/>
          <w:spacing w:val="-1"/>
        </w:rPr>
        <w:t xml:space="preserve">Cooling-3-501.14 </w:t>
      </w:r>
      <w:r>
        <w:rPr>
          <w:rFonts w:asciiTheme="minorHAnsi" w:hAnsiTheme="minorHAnsi"/>
          <w:spacing w:val="-1"/>
        </w:rPr>
        <w:t>– F</w:t>
      </w:r>
      <w:r w:rsidRPr="00872105">
        <w:rPr>
          <w:rFonts w:asciiTheme="minorHAnsi" w:hAnsiTheme="minorHAnsi"/>
          <w:spacing w:val="-1"/>
        </w:rPr>
        <w:t>irst inspection* (</w:t>
      </w:r>
      <w:r w:rsidR="000440CE">
        <w:rPr>
          <w:rFonts w:asciiTheme="minorHAnsi" w:hAnsiTheme="minorHAnsi"/>
          <w:spacing w:val="-1"/>
        </w:rPr>
        <w:t xml:space="preserve">on or </w:t>
      </w:r>
      <w:r w:rsidR="00F12DB3">
        <w:rPr>
          <w:rFonts w:asciiTheme="minorHAnsi" w:hAnsiTheme="minorHAnsi"/>
          <w:spacing w:val="-1"/>
        </w:rPr>
        <w:t>after January</w:t>
      </w:r>
      <w:r w:rsidR="00F97494">
        <w:rPr>
          <w:rFonts w:asciiTheme="minorHAnsi" w:hAnsiTheme="minorHAnsi"/>
          <w:spacing w:val="-1"/>
        </w:rPr>
        <w:t xml:space="preserve"> </w:t>
      </w:r>
      <w:r w:rsidR="00F12DB3">
        <w:rPr>
          <w:rFonts w:asciiTheme="minorHAnsi" w:hAnsiTheme="minorHAnsi"/>
          <w:spacing w:val="-1"/>
        </w:rPr>
        <w:t>1, 2019</w:t>
      </w:r>
      <w:r w:rsidRPr="00872105">
        <w:rPr>
          <w:rFonts w:asciiTheme="minorHAnsi" w:hAnsiTheme="minorHAnsi"/>
          <w:spacing w:val="-1"/>
        </w:rPr>
        <w:t xml:space="preserve">) mark OUT for </w:t>
      </w:r>
      <w:r w:rsidR="0087062E">
        <w:rPr>
          <w:rFonts w:asciiTheme="minorHAnsi" w:hAnsiTheme="minorHAnsi"/>
          <w:spacing w:val="-1"/>
        </w:rPr>
        <w:t xml:space="preserve">TCS </w:t>
      </w:r>
      <w:r w:rsidRPr="00872105">
        <w:rPr>
          <w:rFonts w:asciiTheme="minorHAnsi" w:hAnsiTheme="minorHAnsi"/>
          <w:spacing w:val="-1"/>
        </w:rPr>
        <w:t>foods that have cooled</w:t>
      </w:r>
      <w:r w:rsidR="00861A21">
        <w:rPr>
          <w:rFonts w:asciiTheme="minorHAnsi" w:hAnsiTheme="minorHAnsi"/>
          <w:spacing w:val="-1"/>
        </w:rPr>
        <w:t xml:space="preserve"> to</w:t>
      </w:r>
      <w:r w:rsidRPr="00872105">
        <w:rPr>
          <w:rFonts w:asciiTheme="minorHAnsi" w:hAnsiTheme="minorHAnsi"/>
          <w:spacing w:val="-1"/>
        </w:rPr>
        <w:t xml:space="preserve"> 42-45°F within </w:t>
      </w:r>
      <w:r w:rsidR="00BE0938">
        <w:rPr>
          <w:rFonts w:asciiTheme="minorHAnsi" w:hAnsiTheme="minorHAnsi"/>
          <w:spacing w:val="-1"/>
        </w:rPr>
        <w:t>cooling parameters</w:t>
      </w:r>
      <w:r w:rsidRPr="00872105">
        <w:rPr>
          <w:rFonts w:asciiTheme="minorHAnsi" w:hAnsiTheme="minorHAnsi"/>
          <w:spacing w:val="-1"/>
        </w:rPr>
        <w:t xml:space="preserve"> and take zero points. </w:t>
      </w:r>
      <w:r w:rsidR="001453CF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1453CF">
        <w:rPr>
          <w:rFonts w:asciiTheme="minorHAnsi" w:hAnsiTheme="minorHAnsi"/>
          <w:spacing w:val="-1"/>
        </w:rPr>
        <w:t>should not</w:t>
      </w:r>
      <w:r w:rsidR="001453CF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>be taken during th</w:t>
      </w:r>
      <w:r w:rsidR="00F12DB3">
        <w:rPr>
          <w:rFonts w:asciiTheme="minorHAnsi" w:hAnsiTheme="minorHAnsi"/>
          <w:spacing w:val="-1"/>
        </w:rPr>
        <w:t>e</w:t>
      </w:r>
      <w:r w:rsidRPr="00872105">
        <w:rPr>
          <w:rFonts w:asciiTheme="minorHAnsi" w:hAnsiTheme="minorHAnsi"/>
          <w:spacing w:val="-1"/>
        </w:rPr>
        <w:t xml:space="preserve"> firs</w:t>
      </w:r>
      <w:r w:rsidR="00F12DB3">
        <w:rPr>
          <w:rFonts w:asciiTheme="minorHAnsi" w:hAnsiTheme="minorHAnsi"/>
          <w:spacing w:val="-1"/>
        </w:rPr>
        <w:t>t</w:t>
      </w:r>
      <w:r w:rsidRPr="00872105">
        <w:rPr>
          <w:rFonts w:asciiTheme="minorHAnsi" w:hAnsiTheme="minorHAnsi"/>
          <w:spacing w:val="-1"/>
        </w:rPr>
        <w:t xml:space="preserve"> inspection</w:t>
      </w:r>
      <w:r w:rsidR="001453CF">
        <w:rPr>
          <w:rFonts w:asciiTheme="minorHAnsi" w:hAnsiTheme="minorHAnsi"/>
          <w:spacing w:val="-1"/>
        </w:rPr>
        <w:t xml:space="preserve"> for this violation</w:t>
      </w:r>
      <w:r w:rsidR="001C4902">
        <w:rPr>
          <w:rFonts w:asciiTheme="minorHAnsi" w:hAnsiTheme="minorHAnsi"/>
          <w:spacing w:val="-1"/>
        </w:rPr>
        <w:t>.</w:t>
      </w:r>
      <w:r w:rsidRPr="00872105">
        <w:rPr>
          <w:rFonts w:asciiTheme="minorHAnsi" w:hAnsiTheme="minorHAnsi"/>
          <w:spacing w:val="-1"/>
        </w:rPr>
        <w:t xml:space="preserve"> When possible, relocate food to cold holding equipment</w:t>
      </w:r>
      <w:r w:rsidR="001453CF">
        <w:rPr>
          <w:rFonts w:asciiTheme="minorHAnsi" w:hAnsiTheme="minorHAnsi"/>
          <w:spacing w:val="-1"/>
        </w:rPr>
        <w:t xml:space="preserve"> capable of maintaining TCS food</w:t>
      </w:r>
      <w:r w:rsidRPr="00872105">
        <w:rPr>
          <w:rFonts w:asciiTheme="minorHAnsi" w:hAnsiTheme="minorHAnsi"/>
          <w:spacing w:val="-1"/>
        </w:rPr>
        <w:t xml:space="preserve"> at 41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 xml:space="preserve">F or below and cool food the </w:t>
      </w:r>
      <w:r w:rsidRPr="00872105">
        <w:rPr>
          <w:rFonts w:asciiTheme="minorHAnsi" w:hAnsiTheme="minorHAnsi"/>
          <w:spacing w:val="-1"/>
        </w:rPr>
        <w:lastRenderedPageBreak/>
        <w:t xml:space="preserve">remaining 1-4 degrees. </w:t>
      </w:r>
      <w:r w:rsidR="00BB5D91" w:rsidRPr="00321992">
        <w:rPr>
          <w:rFonts w:asciiTheme="minorHAnsi" w:hAnsiTheme="minorHAnsi"/>
          <w:spacing w:val="-1"/>
        </w:rPr>
        <w:t>Use ice and/or walk-in freezers to prevent cooling violations when possible.</w:t>
      </w:r>
    </w:p>
    <w:p w14:paraId="192E627D" w14:textId="77777777" w:rsidR="00796BED" w:rsidRPr="00872105" w:rsidRDefault="00796BED" w:rsidP="00796BED">
      <w:pPr>
        <w:rPr>
          <w:rFonts w:asciiTheme="minorHAnsi" w:hAnsiTheme="minorHAnsi"/>
          <w:b/>
          <w:i/>
        </w:rPr>
      </w:pPr>
    </w:p>
    <w:p w14:paraId="0EA477A9" w14:textId="5F50B721" w:rsidR="00796BED" w:rsidRPr="009D3BAC" w:rsidRDefault="00796BED" w:rsidP="00796BED">
      <w:pPr>
        <w:rPr>
          <w:rFonts w:asciiTheme="minorHAnsi" w:hAnsiTheme="minorHAnsi"/>
          <w:spacing w:val="-1"/>
          <w:highlight w:val="yellow"/>
        </w:rPr>
      </w:pPr>
      <w:r w:rsidRPr="00872105">
        <w:rPr>
          <w:rFonts w:asciiTheme="minorHAnsi" w:hAnsiTheme="minorHAnsi"/>
          <w:b/>
          <w:i/>
        </w:rPr>
        <w:t xml:space="preserve">Date Marking-3-501.18 </w:t>
      </w:r>
      <w:r w:rsidRPr="00872105">
        <w:rPr>
          <w:rFonts w:asciiTheme="minorHAnsi" w:hAnsiTheme="minorHAnsi"/>
        </w:rPr>
        <w:t xml:space="preserve">– First inspection* </w:t>
      </w:r>
      <w:r w:rsidRPr="00872105">
        <w:rPr>
          <w:rFonts w:asciiTheme="minorHAnsi" w:hAnsiTheme="minorHAnsi"/>
          <w:spacing w:val="-1"/>
        </w:rPr>
        <w:t>(</w:t>
      </w:r>
      <w:r w:rsidR="000440CE">
        <w:rPr>
          <w:rFonts w:asciiTheme="minorHAnsi" w:hAnsiTheme="minorHAnsi"/>
          <w:spacing w:val="-1"/>
        </w:rPr>
        <w:t xml:space="preserve">on or </w:t>
      </w:r>
      <w:r w:rsidR="00F12DB3">
        <w:rPr>
          <w:rFonts w:asciiTheme="minorHAnsi" w:hAnsiTheme="minorHAnsi"/>
          <w:spacing w:val="-1"/>
        </w:rPr>
        <w:t>after January 1, 2019</w:t>
      </w:r>
      <w:r w:rsidRPr="00872105">
        <w:rPr>
          <w:rFonts w:asciiTheme="minorHAnsi" w:hAnsiTheme="minorHAnsi"/>
          <w:spacing w:val="-1"/>
        </w:rPr>
        <w:t>) if 4-day dated food is found</w:t>
      </w:r>
      <w:r w:rsidR="001453CF">
        <w:rPr>
          <w:rFonts w:asciiTheme="minorHAnsi" w:hAnsiTheme="minorHAnsi"/>
          <w:spacing w:val="-1"/>
        </w:rPr>
        <w:t xml:space="preserve"> at</w:t>
      </w:r>
      <w:r w:rsidRPr="00872105">
        <w:rPr>
          <w:rFonts w:asciiTheme="minorHAnsi" w:hAnsiTheme="minorHAnsi"/>
          <w:spacing w:val="-1"/>
        </w:rPr>
        <w:t xml:space="preserve"> 42-45°F, mark OUT with zero points. </w:t>
      </w:r>
      <w:r w:rsidR="001453CF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1453CF">
        <w:rPr>
          <w:rFonts w:asciiTheme="minorHAnsi" w:hAnsiTheme="minorHAnsi"/>
          <w:spacing w:val="-1"/>
        </w:rPr>
        <w:t>should not</w:t>
      </w:r>
      <w:r w:rsidR="001453CF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 xml:space="preserve">be taken </w:t>
      </w:r>
      <w:r w:rsidR="00F12DB3">
        <w:rPr>
          <w:rFonts w:asciiTheme="minorHAnsi" w:hAnsiTheme="minorHAnsi"/>
          <w:spacing w:val="-1"/>
        </w:rPr>
        <w:t>during</w:t>
      </w:r>
      <w:r w:rsidRPr="00872105">
        <w:rPr>
          <w:rFonts w:asciiTheme="minorHAnsi" w:hAnsiTheme="minorHAnsi"/>
          <w:spacing w:val="-1"/>
        </w:rPr>
        <w:t xml:space="preserve"> the firs</w:t>
      </w:r>
      <w:r w:rsidR="00F12DB3">
        <w:rPr>
          <w:rFonts w:asciiTheme="minorHAnsi" w:hAnsiTheme="minorHAnsi"/>
          <w:spacing w:val="-1"/>
        </w:rPr>
        <w:t>t</w:t>
      </w:r>
      <w:r w:rsidRPr="00872105">
        <w:rPr>
          <w:rFonts w:asciiTheme="minorHAnsi" w:hAnsiTheme="minorHAnsi"/>
          <w:spacing w:val="-1"/>
        </w:rPr>
        <w:t xml:space="preserve"> inspection</w:t>
      </w:r>
      <w:r w:rsidR="001453CF">
        <w:rPr>
          <w:rFonts w:asciiTheme="minorHAnsi" w:hAnsiTheme="minorHAnsi"/>
          <w:spacing w:val="-1"/>
        </w:rPr>
        <w:t xml:space="preserve"> for this violation</w:t>
      </w:r>
      <w:r w:rsidRPr="00872105">
        <w:rPr>
          <w:rFonts w:asciiTheme="minorHAnsi" w:hAnsiTheme="minorHAnsi"/>
          <w:spacing w:val="-1"/>
        </w:rPr>
        <w:t>. Food may be kept for the remaining time</w:t>
      </w:r>
      <w:r w:rsidR="00861A21">
        <w:rPr>
          <w:rFonts w:asciiTheme="minorHAnsi" w:hAnsiTheme="minorHAnsi"/>
          <w:spacing w:val="-1"/>
        </w:rPr>
        <w:t xml:space="preserve"> and</w:t>
      </w:r>
      <w:r w:rsidRPr="00872105">
        <w:rPr>
          <w:rFonts w:asciiTheme="minorHAnsi" w:hAnsiTheme="minorHAnsi"/>
          <w:spacing w:val="-1"/>
        </w:rPr>
        <w:t xml:space="preserve"> </w:t>
      </w:r>
      <w:r w:rsidR="001453CF">
        <w:rPr>
          <w:rFonts w:asciiTheme="minorHAnsi" w:hAnsiTheme="minorHAnsi"/>
          <w:spacing w:val="-1"/>
        </w:rPr>
        <w:t>should be</w:t>
      </w:r>
      <w:r w:rsidR="001453CF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>served as soon as possible.</w:t>
      </w:r>
      <w:r w:rsidR="00861A21">
        <w:rPr>
          <w:rFonts w:asciiTheme="minorHAnsi" w:hAnsiTheme="minorHAnsi"/>
          <w:spacing w:val="-1"/>
        </w:rPr>
        <w:t xml:space="preserve"> V</w:t>
      </w:r>
      <w:r w:rsidRPr="00872105">
        <w:rPr>
          <w:rFonts w:asciiTheme="minorHAnsi" w:hAnsiTheme="minorHAnsi"/>
          <w:spacing w:val="-1"/>
        </w:rPr>
        <w:t>oluntary disposal should be considered</w:t>
      </w:r>
      <w:r w:rsidR="00861A21">
        <w:rPr>
          <w:rFonts w:asciiTheme="minorHAnsi" w:hAnsiTheme="minorHAnsi"/>
          <w:spacing w:val="-1"/>
        </w:rPr>
        <w:t xml:space="preserve"> for items not date marked, regardless of temperature</w:t>
      </w:r>
      <w:r w:rsidRPr="00872105">
        <w:rPr>
          <w:rFonts w:asciiTheme="minorHAnsi" w:hAnsiTheme="minorHAnsi"/>
          <w:spacing w:val="-1"/>
        </w:rPr>
        <w:t>.</w:t>
      </w:r>
      <w:r w:rsidR="00BB5D91">
        <w:rPr>
          <w:rFonts w:asciiTheme="minorHAnsi" w:hAnsiTheme="minorHAnsi"/>
          <w:spacing w:val="-1"/>
        </w:rPr>
        <w:t xml:space="preserve"> </w:t>
      </w:r>
      <w:r w:rsidR="00BB5D91" w:rsidRPr="00321992">
        <w:rPr>
          <w:rFonts w:asciiTheme="minorHAnsi" w:hAnsiTheme="minorHAnsi"/>
          <w:spacing w:val="-1"/>
        </w:rPr>
        <w:t>Without obtaining a variance, 4-day date marking</w:t>
      </w:r>
      <w:r w:rsidR="000D204F">
        <w:rPr>
          <w:rFonts w:asciiTheme="minorHAnsi" w:hAnsiTheme="minorHAnsi"/>
          <w:spacing w:val="-1"/>
        </w:rPr>
        <w:t xml:space="preserve"> </w:t>
      </w:r>
      <w:r w:rsidR="00C91BF7">
        <w:rPr>
          <w:rFonts w:asciiTheme="minorHAnsi" w:hAnsiTheme="minorHAnsi"/>
          <w:spacing w:val="-1"/>
        </w:rPr>
        <w:t xml:space="preserve">will be subject to point deductions </w:t>
      </w:r>
      <w:r w:rsidR="00BB5D91" w:rsidRPr="00321992">
        <w:rPr>
          <w:rFonts w:asciiTheme="minorHAnsi" w:hAnsiTheme="minorHAnsi"/>
          <w:spacing w:val="-1"/>
        </w:rPr>
        <w:t>after the first inspection (</w:t>
      </w:r>
      <w:r w:rsidR="00BB5D91" w:rsidRPr="00321992">
        <w:rPr>
          <w:rFonts w:asciiTheme="minorHAnsi" w:hAnsiTheme="minorHAnsi"/>
          <w:i/>
          <w:spacing w:val="-1"/>
        </w:rPr>
        <w:t>See Achieving Long-Term Compliance Section for more information</w:t>
      </w:r>
      <w:r w:rsidR="00BB5D91" w:rsidRPr="00321992">
        <w:rPr>
          <w:rFonts w:asciiTheme="minorHAnsi" w:hAnsiTheme="minorHAnsi"/>
          <w:spacing w:val="-1"/>
        </w:rPr>
        <w:t>).</w:t>
      </w:r>
      <w:r w:rsidRPr="00872105">
        <w:rPr>
          <w:rFonts w:asciiTheme="minorHAnsi" w:hAnsiTheme="minorHAnsi"/>
          <w:spacing w:val="-1"/>
        </w:rPr>
        <w:t xml:space="preserve"> </w:t>
      </w:r>
    </w:p>
    <w:p w14:paraId="568F55F3" w14:textId="77777777" w:rsidR="00796BED" w:rsidRPr="00872105" w:rsidRDefault="00796BED" w:rsidP="00796BED">
      <w:pPr>
        <w:rPr>
          <w:rFonts w:asciiTheme="minorHAnsi" w:hAnsiTheme="minorHAnsi"/>
          <w:spacing w:val="-1"/>
        </w:rPr>
      </w:pPr>
    </w:p>
    <w:p w14:paraId="16D55230" w14:textId="0BA4A02A" w:rsidR="000D204F" w:rsidRDefault="00796BED" w:rsidP="00796BED">
      <w:pPr>
        <w:rPr>
          <w:rFonts w:asciiTheme="minorHAnsi" w:hAnsiTheme="minorHAnsi"/>
          <w:spacing w:val="-1"/>
          <w:highlight w:val="yellow"/>
        </w:rPr>
      </w:pPr>
      <w:r w:rsidRPr="00872105">
        <w:rPr>
          <w:rFonts w:asciiTheme="minorHAnsi" w:hAnsiTheme="minorHAnsi"/>
          <w:b/>
          <w:i/>
          <w:spacing w:val="-1"/>
        </w:rPr>
        <w:t xml:space="preserve">Time </w:t>
      </w:r>
      <w:proofErr w:type="gramStart"/>
      <w:r w:rsidRPr="00872105">
        <w:rPr>
          <w:rFonts w:asciiTheme="minorHAnsi" w:hAnsiTheme="minorHAnsi"/>
          <w:b/>
          <w:i/>
          <w:spacing w:val="-1"/>
        </w:rPr>
        <w:t>As</w:t>
      </w:r>
      <w:proofErr w:type="gramEnd"/>
      <w:r w:rsidRPr="00872105">
        <w:rPr>
          <w:rFonts w:asciiTheme="minorHAnsi" w:hAnsiTheme="minorHAnsi"/>
          <w:b/>
          <w:i/>
          <w:spacing w:val="-1"/>
        </w:rPr>
        <w:t xml:space="preserve"> A Public Health Control-3-501.19 </w:t>
      </w:r>
      <w:r w:rsidRPr="00872105">
        <w:rPr>
          <w:rFonts w:asciiTheme="minorHAnsi" w:hAnsiTheme="minorHAnsi"/>
          <w:spacing w:val="-1"/>
        </w:rPr>
        <w:t>– First inspection* (</w:t>
      </w:r>
      <w:r w:rsidR="000440CE">
        <w:rPr>
          <w:rFonts w:asciiTheme="minorHAnsi" w:hAnsiTheme="minorHAnsi"/>
          <w:spacing w:val="-1"/>
        </w:rPr>
        <w:t xml:space="preserve">on or </w:t>
      </w:r>
      <w:r w:rsidR="00F12DB3">
        <w:rPr>
          <w:rFonts w:asciiTheme="minorHAnsi" w:hAnsiTheme="minorHAnsi"/>
          <w:spacing w:val="-1"/>
        </w:rPr>
        <w:t>after January 1, 2019</w:t>
      </w:r>
      <w:r w:rsidRPr="00872105">
        <w:rPr>
          <w:rFonts w:asciiTheme="minorHAnsi" w:hAnsiTheme="minorHAnsi"/>
          <w:spacing w:val="-1"/>
        </w:rPr>
        <w:t>) if the starting temperature is 42-45°F</w:t>
      </w:r>
      <w:r w:rsidR="00861A21">
        <w:rPr>
          <w:rFonts w:asciiTheme="minorHAnsi" w:hAnsiTheme="minorHAnsi"/>
          <w:spacing w:val="-1"/>
        </w:rPr>
        <w:t>,</w:t>
      </w:r>
      <w:r w:rsidRPr="00872105">
        <w:rPr>
          <w:rFonts w:asciiTheme="minorHAnsi" w:hAnsiTheme="minorHAnsi"/>
          <w:spacing w:val="-1"/>
        </w:rPr>
        <w:t xml:space="preserve"> </w:t>
      </w:r>
      <w:r w:rsidRPr="00AD1209">
        <w:rPr>
          <w:rFonts w:asciiTheme="minorHAnsi" w:hAnsiTheme="minorHAnsi"/>
          <w:spacing w:val="-1"/>
        </w:rPr>
        <w:t xml:space="preserve">it can be kept or </w:t>
      </w:r>
      <w:r w:rsidR="00A663BD" w:rsidRPr="00AD1209">
        <w:rPr>
          <w:rFonts w:asciiTheme="minorHAnsi" w:hAnsiTheme="minorHAnsi"/>
          <w:spacing w:val="-1"/>
        </w:rPr>
        <w:t>the food may be put</w:t>
      </w:r>
      <w:r w:rsidR="00A663BD" w:rsidRPr="00872105">
        <w:rPr>
          <w:rFonts w:asciiTheme="minorHAnsi" w:hAnsiTheme="minorHAnsi"/>
          <w:spacing w:val="-1"/>
        </w:rPr>
        <w:t xml:space="preserve"> on </w:t>
      </w:r>
      <w:r w:rsidR="001453CF">
        <w:rPr>
          <w:rFonts w:asciiTheme="minorHAnsi" w:hAnsiTheme="minorHAnsi"/>
          <w:spacing w:val="-1"/>
        </w:rPr>
        <w:t>Time as a Public Health Control (</w:t>
      </w:r>
      <w:r w:rsidR="00A663BD" w:rsidRPr="00872105">
        <w:rPr>
          <w:rFonts w:asciiTheme="minorHAnsi" w:hAnsiTheme="minorHAnsi"/>
          <w:spacing w:val="-1"/>
        </w:rPr>
        <w:t>TPHC</w:t>
      </w:r>
      <w:r w:rsidR="001453CF">
        <w:rPr>
          <w:rFonts w:asciiTheme="minorHAnsi" w:hAnsiTheme="minorHAnsi"/>
          <w:spacing w:val="-1"/>
        </w:rPr>
        <w:t>)</w:t>
      </w:r>
      <w:r w:rsidR="00A663BD" w:rsidRPr="00872105">
        <w:rPr>
          <w:rFonts w:asciiTheme="minorHAnsi" w:hAnsiTheme="minorHAnsi"/>
          <w:spacing w:val="-1"/>
        </w:rPr>
        <w:t xml:space="preserve"> for 4 hours or 6 hours depending on holding temperature</w:t>
      </w:r>
      <w:r w:rsidRPr="00872105">
        <w:rPr>
          <w:rFonts w:asciiTheme="minorHAnsi" w:hAnsiTheme="minorHAnsi"/>
          <w:spacing w:val="-1"/>
        </w:rPr>
        <w:t xml:space="preserve">. </w:t>
      </w:r>
      <w:r w:rsidR="00BF56E5">
        <w:rPr>
          <w:rFonts w:asciiTheme="minorHAnsi" w:hAnsiTheme="minorHAnsi"/>
          <w:spacing w:val="-1"/>
        </w:rPr>
        <w:t>Mark</w:t>
      </w:r>
      <w:r w:rsidRPr="00872105">
        <w:rPr>
          <w:rFonts w:asciiTheme="minorHAnsi" w:hAnsiTheme="minorHAnsi"/>
          <w:spacing w:val="-1"/>
        </w:rPr>
        <w:t xml:space="preserve"> </w:t>
      </w:r>
      <w:r w:rsidR="00BF56E5">
        <w:rPr>
          <w:rFonts w:asciiTheme="minorHAnsi" w:hAnsiTheme="minorHAnsi"/>
          <w:spacing w:val="-1"/>
        </w:rPr>
        <w:t>OUT</w:t>
      </w:r>
      <w:r w:rsidR="00BF56E5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 xml:space="preserve">with zero points </w:t>
      </w:r>
      <w:r w:rsidR="00F12DB3">
        <w:rPr>
          <w:rFonts w:asciiTheme="minorHAnsi" w:hAnsiTheme="minorHAnsi"/>
          <w:spacing w:val="-1"/>
        </w:rPr>
        <w:t xml:space="preserve">during </w:t>
      </w:r>
      <w:r w:rsidRPr="00872105">
        <w:rPr>
          <w:rFonts w:asciiTheme="minorHAnsi" w:hAnsiTheme="minorHAnsi"/>
          <w:spacing w:val="-1"/>
        </w:rPr>
        <w:t xml:space="preserve">the first inspection. </w:t>
      </w:r>
      <w:r w:rsidR="00BF56E5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BF56E5">
        <w:rPr>
          <w:rFonts w:asciiTheme="minorHAnsi" w:hAnsiTheme="minorHAnsi"/>
          <w:spacing w:val="-1"/>
        </w:rPr>
        <w:t>should not</w:t>
      </w:r>
      <w:r w:rsidR="00BF56E5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 xml:space="preserve">be taken </w:t>
      </w:r>
      <w:r w:rsidR="00F12DB3">
        <w:rPr>
          <w:rFonts w:asciiTheme="minorHAnsi" w:hAnsiTheme="minorHAnsi"/>
          <w:spacing w:val="-1"/>
        </w:rPr>
        <w:t>during</w:t>
      </w:r>
      <w:r w:rsidRPr="00872105">
        <w:rPr>
          <w:rFonts w:asciiTheme="minorHAnsi" w:hAnsiTheme="minorHAnsi"/>
          <w:spacing w:val="-1"/>
        </w:rPr>
        <w:t xml:space="preserve"> the first</w:t>
      </w:r>
      <w:r w:rsidR="00F12DB3">
        <w:rPr>
          <w:rFonts w:asciiTheme="minorHAnsi" w:hAnsiTheme="minorHAnsi"/>
          <w:spacing w:val="-1"/>
        </w:rPr>
        <w:t xml:space="preserve"> inspection</w:t>
      </w:r>
      <w:r w:rsidR="00BF56E5">
        <w:rPr>
          <w:rFonts w:asciiTheme="minorHAnsi" w:hAnsiTheme="minorHAnsi"/>
          <w:spacing w:val="-1"/>
        </w:rPr>
        <w:t xml:space="preserve"> for this violation</w:t>
      </w:r>
      <w:r w:rsidRPr="00872105">
        <w:rPr>
          <w:rFonts w:asciiTheme="minorHAnsi" w:hAnsiTheme="minorHAnsi"/>
          <w:spacing w:val="-1"/>
        </w:rPr>
        <w:t>.</w:t>
      </w:r>
      <w:r w:rsidR="00BB5D91">
        <w:rPr>
          <w:rFonts w:asciiTheme="minorHAnsi" w:hAnsiTheme="minorHAnsi"/>
          <w:spacing w:val="-1"/>
        </w:rPr>
        <w:t xml:space="preserve"> </w:t>
      </w:r>
      <w:r w:rsidR="00BB5D91" w:rsidRPr="00321992">
        <w:rPr>
          <w:rFonts w:asciiTheme="minorHAnsi" w:hAnsiTheme="minorHAnsi"/>
          <w:spacing w:val="-1"/>
        </w:rPr>
        <w:t xml:space="preserve">Without obtaining a variance, starting TPHC foods at 42°F-45°F </w:t>
      </w:r>
    </w:p>
    <w:p w14:paraId="53E13706" w14:textId="527534D6" w:rsidR="00796BED" w:rsidRPr="009D3BAC" w:rsidRDefault="00C91BF7" w:rsidP="00796BED">
      <w:pPr>
        <w:rPr>
          <w:rFonts w:asciiTheme="minorHAnsi" w:hAnsiTheme="minorHAnsi"/>
          <w:spacing w:val="-1"/>
          <w:highlight w:val="yellow"/>
        </w:rPr>
      </w:pPr>
      <w:r>
        <w:rPr>
          <w:rFonts w:asciiTheme="minorHAnsi" w:hAnsiTheme="minorHAnsi"/>
          <w:spacing w:val="-1"/>
        </w:rPr>
        <w:t xml:space="preserve">will be subject to point deductions </w:t>
      </w:r>
      <w:r w:rsidR="00BB5D91" w:rsidRPr="00321992">
        <w:rPr>
          <w:rFonts w:asciiTheme="minorHAnsi" w:hAnsiTheme="minorHAnsi"/>
          <w:spacing w:val="-1"/>
        </w:rPr>
        <w:t>after the first inspection (</w:t>
      </w:r>
      <w:r w:rsidR="00BB5D91" w:rsidRPr="00321992">
        <w:rPr>
          <w:rFonts w:asciiTheme="minorHAnsi" w:hAnsiTheme="minorHAnsi"/>
          <w:i/>
          <w:spacing w:val="-1"/>
        </w:rPr>
        <w:t>See Achieving Long-Term Compliance Section for more information</w:t>
      </w:r>
      <w:r w:rsidR="00BB5D91" w:rsidRPr="00321992">
        <w:rPr>
          <w:rFonts w:asciiTheme="minorHAnsi" w:hAnsiTheme="minorHAnsi"/>
          <w:spacing w:val="-1"/>
        </w:rPr>
        <w:t>).</w:t>
      </w:r>
      <w:r w:rsidR="00BB5D91" w:rsidRPr="00872105">
        <w:rPr>
          <w:rFonts w:asciiTheme="minorHAnsi" w:hAnsiTheme="minorHAnsi"/>
          <w:spacing w:val="-1"/>
        </w:rPr>
        <w:t xml:space="preserve"> </w:t>
      </w:r>
    </w:p>
    <w:p w14:paraId="0208C2AA" w14:textId="77777777" w:rsidR="00796BED" w:rsidRPr="00872105" w:rsidRDefault="00796BED" w:rsidP="00796BED">
      <w:pPr>
        <w:rPr>
          <w:rFonts w:asciiTheme="minorHAnsi" w:hAnsiTheme="minorHAnsi"/>
          <w:spacing w:val="-1"/>
        </w:rPr>
      </w:pPr>
    </w:p>
    <w:p w14:paraId="2520B34D" w14:textId="2D978EA5" w:rsidR="00796BED" w:rsidRPr="00872105" w:rsidRDefault="00796BED" w:rsidP="00796BED">
      <w:pPr>
        <w:rPr>
          <w:rFonts w:asciiTheme="minorHAnsi" w:hAnsiTheme="minorHAnsi"/>
          <w:spacing w:val="-1"/>
        </w:rPr>
      </w:pPr>
      <w:r w:rsidRPr="00872105">
        <w:rPr>
          <w:rFonts w:asciiTheme="minorHAnsi" w:hAnsiTheme="minorHAnsi"/>
          <w:b/>
          <w:i/>
        </w:rPr>
        <w:t xml:space="preserve">Thawing-3-501.13 </w:t>
      </w:r>
      <w:r w:rsidRPr="00872105">
        <w:rPr>
          <w:rFonts w:asciiTheme="minorHAnsi" w:hAnsiTheme="minorHAnsi"/>
        </w:rPr>
        <w:t>– First inspectio</w:t>
      </w:r>
      <w:r w:rsidR="00BE6742">
        <w:rPr>
          <w:rFonts w:asciiTheme="minorHAnsi" w:hAnsiTheme="minorHAnsi"/>
        </w:rPr>
        <w:t>n</w:t>
      </w:r>
      <w:r w:rsidRPr="00872105">
        <w:rPr>
          <w:rFonts w:asciiTheme="minorHAnsi" w:hAnsiTheme="minorHAnsi"/>
        </w:rPr>
        <w:t xml:space="preserve">* </w:t>
      </w:r>
      <w:r w:rsidRPr="00872105">
        <w:rPr>
          <w:rFonts w:asciiTheme="minorHAnsi" w:hAnsiTheme="minorHAnsi"/>
          <w:spacing w:val="-1"/>
        </w:rPr>
        <w:t>(</w:t>
      </w:r>
      <w:r w:rsidR="000440CE">
        <w:rPr>
          <w:rFonts w:asciiTheme="minorHAnsi" w:hAnsiTheme="minorHAnsi"/>
          <w:spacing w:val="-1"/>
        </w:rPr>
        <w:t>on or</w:t>
      </w:r>
      <w:r w:rsidR="00BE6742">
        <w:rPr>
          <w:rFonts w:asciiTheme="minorHAnsi" w:hAnsiTheme="minorHAnsi"/>
          <w:spacing w:val="-1"/>
        </w:rPr>
        <w:t xml:space="preserve"> after January 1, 2019</w:t>
      </w:r>
      <w:r w:rsidRPr="00872105">
        <w:rPr>
          <w:rFonts w:asciiTheme="minorHAnsi" w:hAnsiTheme="minorHAnsi"/>
          <w:spacing w:val="-1"/>
        </w:rPr>
        <w:t xml:space="preserve">) </w:t>
      </w:r>
      <w:r w:rsidR="00BF56E5">
        <w:rPr>
          <w:rFonts w:asciiTheme="minorHAnsi" w:hAnsiTheme="minorHAnsi"/>
          <w:spacing w:val="-1"/>
        </w:rPr>
        <w:t>M</w:t>
      </w:r>
      <w:r w:rsidRPr="00872105">
        <w:rPr>
          <w:rFonts w:asciiTheme="minorHAnsi" w:hAnsiTheme="minorHAnsi"/>
          <w:spacing w:val="-1"/>
        </w:rPr>
        <w:t>ark OUT for TCS foods that are 42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>F-45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 xml:space="preserve">F at </w:t>
      </w:r>
      <w:r w:rsidR="00861A21">
        <w:rPr>
          <w:rFonts w:asciiTheme="minorHAnsi" w:hAnsiTheme="minorHAnsi"/>
          <w:spacing w:val="-1"/>
        </w:rPr>
        <w:t>any</w:t>
      </w:r>
      <w:r w:rsidRPr="00872105">
        <w:rPr>
          <w:rFonts w:asciiTheme="minorHAnsi" w:hAnsiTheme="minorHAnsi"/>
          <w:spacing w:val="-1"/>
        </w:rPr>
        <w:t xml:space="preserve"> point during the thawing process and take zero points</w:t>
      </w:r>
      <w:r w:rsidR="001C4902">
        <w:rPr>
          <w:rFonts w:asciiTheme="minorHAnsi" w:hAnsiTheme="minorHAnsi"/>
          <w:spacing w:val="-1"/>
        </w:rPr>
        <w:t>.</w:t>
      </w:r>
      <w:r w:rsidRPr="00872105">
        <w:rPr>
          <w:rFonts w:asciiTheme="minorHAnsi" w:hAnsiTheme="minorHAnsi"/>
          <w:spacing w:val="-1"/>
        </w:rPr>
        <w:t xml:space="preserve"> </w:t>
      </w:r>
      <w:r w:rsidR="00BF56E5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BF56E5">
        <w:rPr>
          <w:rFonts w:asciiTheme="minorHAnsi" w:hAnsiTheme="minorHAnsi"/>
          <w:spacing w:val="-1"/>
        </w:rPr>
        <w:t>should not</w:t>
      </w:r>
      <w:r w:rsidR="00BF56E5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>b</w:t>
      </w:r>
      <w:r w:rsidR="00BE6742">
        <w:rPr>
          <w:rFonts w:asciiTheme="minorHAnsi" w:hAnsiTheme="minorHAnsi"/>
          <w:spacing w:val="-1"/>
        </w:rPr>
        <w:t>e taken during the first inspection</w:t>
      </w:r>
      <w:r w:rsidR="00BF56E5">
        <w:rPr>
          <w:rFonts w:asciiTheme="minorHAnsi" w:hAnsiTheme="minorHAnsi"/>
          <w:spacing w:val="-1"/>
        </w:rPr>
        <w:t xml:space="preserve"> for this violation</w:t>
      </w:r>
      <w:r w:rsidRPr="00872105">
        <w:rPr>
          <w:rFonts w:asciiTheme="minorHAnsi" w:hAnsiTheme="minorHAnsi"/>
          <w:spacing w:val="-1"/>
        </w:rPr>
        <w:t>.</w:t>
      </w:r>
    </w:p>
    <w:p w14:paraId="728B45A6" w14:textId="77777777" w:rsidR="00796BED" w:rsidRPr="00872105" w:rsidRDefault="00796BED" w:rsidP="00796BED">
      <w:pPr>
        <w:rPr>
          <w:rFonts w:asciiTheme="minorHAnsi" w:hAnsiTheme="minorHAnsi"/>
        </w:rPr>
      </w:pPr>
    </w:p>
    <w:p w14:paraId="63FBD662" w14:textId="104B1B50" w:rsidR="00796BED" w:rsidRPr="00872105" w:rsidRDefault="00796BED" w:rsidP="00796BED">
      <w:pPr>
        <w:rPr>
          <w:rFonts w:asciiTheme="minorHAnsi" w:hAnsiTheme="minorHAnsi"/>
        </w:rPr>
      </w:pPr>
      <w:r w:rsidRPr="00872105">
        <w:rPr>
          <w:rFonts w:asciiTheme="minorHAnsi" w:hAnsiTheme="minorHAnsi"/>
          <w:b/>
          <w:i/>
        </w:rPr>
        <w:t xml:space="preserve">Slacking-3-501.12 </w:t>
      </w:r>
      <w:r w:rsidRPr="00872105">
        <w:rPr>
          <w:rFonts w:asciiTheme="minorHAnsi" w:hAnsiTheme="minorHAnsi"/>
        </w:rPr>
        <w:t xml:space="preserve">– First inspection* </w:t>
      </w:r>
      <w:r w:rsidRPr="00872105">
        <w:rPr>
          <w:rFonts w:asciiTheme="minorHAnsi" w:hAnsiTheme="minorHAnsi"/>
          <w:spacing w:val="-1"/>
        </w:rPr>
        <w:t>(</w:t>
      </w:r>
      <w:r w:rsidR="000440CE">
        <w:rPr>
          <w:rFonts w:asciiTheme="minorHAnsi" w:hAnsiTheme="minorHAnsi"/>
          <w:spacing w:val="-1"/>
        </w:rPr>
        <w:t xml:space="preserve">on or </w:t>
      </w:r>
      <w:r w:rsidR="006D6FA0">
        <w:rPr>
          <w:rFonts w:asciiTheme="minorHAnsi" w:hAnsiTheme="minorHAnsi"/>
          <w:spacing w:val="-1"/>
        </w:rPr>
        <w:t>after January 1, 2019</w:t>
      </w:r>
      <w:r w:rsidRPr="00872105">
        <w:rPr>
          <w:rFonts w:asciiTheme="minorHAnsi" w:hAnsiTheme="minorHAnsi"/>
          <w:spacing w:val="-1"/>
        </w:rPr>
        <w:t xml:space="preserve">) </w:t>
      </w:r>
      <w:r w:rsidR="00BF56E5">
        <w:rPr>
          <w:rFonts w:asciiTheme="minorHAnsi" w:hAnsiTheme="minorHAnsi"/>
          <w:spacing w:val="-1"/>
        </w:rPr>
        <w:t>M</w:t>
      </w:r>
      <w:r w:rsidRPr="00872105">
        <w:rPr>
          <w:rFonts w:asciiTheme="minorHAnsi" w:hAnsiTheme="minorHAnsi"/>
          <w:spacing w:val="-1"/>
        </w:rPr>
        <w:t>ark OUT for foods that are slacking in refrigeration that is holding food between 42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>F and 45</w:t>
      </w:r>
      <w:r>
        <w:rPr>
          <w:rFonts w:asciiTheme="minorHAnsi" w:hAnsiTheme="minorHAnsi"/>
          <w:spacing w:val="-1"/>
        </w:rPr>
        <w:t>°</w:t>
      </w:r>
      <w:r w:rsidRPr="00872105">
        <w:rPr>
          <w:rFonts w:asciiTheme="minorHAnsi" w:hAnsiTheme="minorHAnsi"/>
          <w:spacing w:val="-1"/>
        </w:rPr>
        <w:t xml:space="preserve">F and take zero points. </w:t>
      </w:r>
      <w:r w:rsidR="00BF56E5">
        <w:rPr>
          <w:rFonts w:asciiTheme="minorHAnsi" w:hAnsiTheme="minorHAnsi"/>
          <w:spacing w:val="-1"/>
        </w:rPr>
        <w:t>P</w:t>
      </w:r>
      <w:r w:rsidRPr="00872105">
        <w:rPr>
          <w:rFonts w:asciiTheme="minorHAnsi" w:hAnsiTheme="minorHAnsi"/>
          <w:spacing w:val="-1"/>
        </w:rPr>
        <w:t xml:space="preserve">ermit action </w:t>
      </w:r>
      <w:r w:rsidR="00BF56E5">
        <w:rPr>
          <w:rFonts w:asciiTheme="minorHAnsi" w:hAnsiTheme="minorHAnsi"/>
          <w:spacing w:val="-1"/>
        </w:rPr>
        <w:t>should not</w:t>
      </w:r>
      <w:r w:rsidR="00BF56E5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 xml:space="preserve">be taken </w:t>
      </w:r>
      <w:r w:rsidR="006D6FA0">
        <w:rPr>
          <w:rFonts w:asciiTheme="minorHAnsi" w:hAnsiTheme="minorHAnsi"/>
          <w:spacing w:val="-1"/>
        </w:rPr>
        <w:t>during the first inspection</w:t>
      </w:r>
      <w:r w:rsidRPr="00872105">
        <w:rPr>
          <w:rFonts w:asciiTheme="minorHAnsi" w:hAnsiTheme="minorHAnsi"/>
          <w:spacing w:val="-1"/>
        </w:rPr>
        <w:t>.</w:t>
      </w:r>
    </w:p>
    <w:p w14:paraId="4F5C48CA" w14:textId="77777777" w:rsidR="00796BED" w:rsidRPr="00872105" w:rsidRDefault="00796BED" w:rsidP="00796BED">
      <w:pPr>
        <w:rPr>
          <w:rFonts w:asciiTheme="minorHAnsi" w:hAnsiTheme="minorHAnsi"/>
          <w:spacing w:val="-1"/>
        </w:rPr>
      </w:pPr>
    </w:p>
    <w:p w14:paraId="25564035" w14:textId="37F4811D" w:rsidR="00A478C4" w:rsidRDefault="00796BED" w:rsidP="00796BED">
      <w:pPr>
        <w:rPr>
          <w:rFonts w:asciiTheme="minorHAnsi" w:hAnsiTheme="minorHAnsi"/>
          <w:spacing w:val="-1"/>
        </w:rPr>
      </w:pPr>
      <w:r w:rsidRPr="00872105">
        <w:rPr>
          <w:rFonts w:asciiTheme="minorHAnsi" w:hAnsiTheme="minorHAnsi"/>
          <w:spacing w:val="-1"/>
        </w:rPr>
        <w:t xml:space="preserve">*The first inspection </w:t>
      </w:r>
      <w:r w:rsidR="008A1E87">
        <w:rPr>
          <w:rFonts w:asciiTheme="minorHAnsi" w:hAnsiTheme="minorHAnsi"/>
          <w:spacing w:val="-1"/>
        </w:rPr>
        <w:t>is</w:t>
      </w:r>
      <w:r w:rsidRPr="00872105">
        <w:rPr>
          <w:rFonts w:asciiTheme="minorHAnsi" w:hAnsiTheme="minorHAnsi"/>
          <w:spacing w:val="-1"/>
        </w:rPr>
        <w:t xml:space="preserve"> the inspection that occur</w:t>
      </w:r>
      <w:r w:rsidR="008A1E87">
        <w:rPr>
          <w:rFonts w:asciiTheme="minorHAnsi" w:hAnsiTheme="minorHAnsi"/>
          <w:spacing w:val="-1"/>
        </w:rPr>
        <w:t>s</w:t>
      </w:r>
      <w:r w:rsidRPr="00872105">
        <w:rPr>
          <w:rFonts w:asciiTheme="minorHAnsi" w:hAnsiTheme="minorHAnsi"/>
          <w:spacing w:val="-1"/>
        </w:rPr>
        <w:t xml:space="preserve"> </w:t>
      </w:r>
      <w:r w:rsidR="000440CE">
        <w:rPr>
          <w:rFonts w:asciiTheme="minorHAnsi" w:hAnsiTheme="minorHAnsi"/>
          <w:spacing w:val="-1"/>
        </w:rPr>
        <w:t>in</w:t>
      </w:r>
      <w:r w:rsidRPr="00872105">
        <w:rPr>
          <w:rFonts w:asciiTheme="minorHAnsi" w:hAnsiTheme="minorHAnsi"/>
          <w:spacing w:val="-1"/>
        </w:rPr>
        <w:t xml:space="preserve"> an establishment</w:t>
      </w:r>
      <w:r w:rsidR="000440CE">
        <w:rPr>
          <w:rFonts w:asciiTheme="minorHAnsi" w:hAnsiTheme="minorHAnsi"/>
          <w:spacing w:val="-1"/>
        </w:rPr>
        <w:t xml:space="preserve"> on or</w:t>
      </w:r>
      <w:r w:rsidRPr="00872105">
        <w:rPr>
          <w:rFonts w:asciiTheme="minorHAnsi" w:hAnsiTheme="minorHAnsi"/>
          <w:spacing w:val="-1"/>
        </w:rPr>
        <w:t xml:space="preserve"> after</w:t>
      </w:r>
      <w:r w:rsidR="000440CE">
        <w:rPr>
          <w:rFonts w:asciiTheme="minorHAnsi" w:hAnsiTheme="minorHAnsi"/>
          <w:spacing w:val="-1"/>
        </w:rPr>
        <w:t xml:space="preserve"> January 1, </w:t>
      </w:r>
      <w:r w:rsidRPr="00872105">
        <w:rPr>
          <w:rFonts w:asciiTheme="minorHAnsi" w:hAnsiTheme="minorHAnsi"/>
          <w:spacing w:val="-1"/>
        </w:rPr>
        <w:t xml:space="preserve">2019. </w:t>
      </w:r>
      <w:r w:rsidR="008A1E87">
        <w:rPr>
          <w:rFonts w:asciiTheme="minorHAnsi" w:hAnsiTheme="minorHAnsi"/>
          <w:spacing w:val="-1"/>
        </w:rPr>
        <w:t xml:space="preserve">After the first inspection, </w:t>
      </w:r>
      <w:r w:rsidR="00A478C4">
        <w:rPr>
          <w:rFonts w:asciiTheme="minorHAnsi" w:hAnsiTheme="minorHAnsi"/>
          <w:spacing w:val="-1"/>
        </w:rPr>
        <w:t>please proceed with taking point deductions as specified in 15A NCAC 18A .2661</w:t>
      </w:r>
      <w:r w:rsidR="008A1E87" w:rsidRPr="00AD1209">
        <w:rPr>
          <w:rFonts w:asciiTheme="minorHAnsi" w:hAnsiTheme="minorHAnsi"/>
          <w:spacing w:val="-1"/>
        </w:rPr>
        <w:t xml:space="preserve">. </w:t>
      </w:r>
    </w:p>
    <w:p w14:paraId="459BAAAF" w14:textId="77777777" w:rsidR="00A478C4" w:rsidRDefault="00A478C4" w:rsidP="00796BED">
      <w:pPr>
        <w:rPr>
          <w:rFonts w:asciiTheme="minorHAnsi" w:hAnsiTheme="minorHAnsi"/>
          <w:b/>
          <w:i/>
          <w:spacing w:val="-1"/>
        </w:rPr>
      </w:pPr>
    </w:p>
    <w:p w14:paraId="22614966" w14:textId="31561021" w:rsidR="00796BED" w:rsidRPr="00872105" w:rsidRDefault="00A478C4" w:rsidP="00796BED">
      <w:pPr>
        <w:rPr>
          <w:rFonts w:asciiTheme="minorHAnsi" w:hAnsiTheme="minorHAnsi"/>
          <w:spacing w:val="-1"/>
        </w:rPr>
      </w:pPr>
      <w:r>
        <w:rPr>
          <w:rFonts w:asciiTheme="minorHAnsi" w:hAnsiTheme="minorHAnsi"/>
          <w:b/>
          <w:i/>
          <w:spacing w:val="-1"/>
        </w:rPr>
        <w:t>Please note that t</w:t>
      </w:r>
      <w:r w:rsidRPr="00872105">
        <w:rPr>
          <w:rFonts w:asciiTheme="minorHAnsi" w:hAnsiTheme="minorHAnsi"/>
          <w:b/>
          <w:i/>
          <w:spacing w:val="-1"/>
        </w:rPr>
        <w:t xml:space="preserve">his position statement does not apply to </w:t>
      </w:r>
      <w:r>
        <w:rPr>
          <w:rFonts w:asciiTheme="minorHAnsi" w:hAnsiTheme="minorHAnsi"/>
          <w:b/>
          <w:i/>
          <w:spacing w:val="-1"/>
        </w:rPr>
        <w:t xml:space="preserve">food </w:t>
      </w:r>
      <w:r w:rsidRPr="00872105">
        <w:rPr>
          <w:rFonts w:asciiTheme="minorHAnsi" w:hAnsiTheme="minorHAnsi"/>
          <w:b/>
          <w:i/>
          <w:spacing w:val="-1"/>
        </w:rPr>
        <w:t>temperatures above 45</w:t>
      </w:r>
      <w:r>
        <w:rPr>
          <w:rFonts w:asciiTheme="minorHAnsi" w:hAnsiTheme="minorHAnsi"/>
          <w:b/>
          <w:i/>
          <w:spacing w:val="-1"/>
        </w:rPr>
        <w:t>°</w:t>
      </w:r>
      <w:r w:rsidRPr="00872105">
        <w:rPr>
          <w:rFonts w:asciiTheme="minorHAnsi" w:hAnsiTheme="minorHAnsi"/>
          <w:b/>
          <w:i/>
          <w:spacing w:val="-1"/>
        </w:rPr>
        <w:t>F.</w:t>
      </w:r>
      <w:r>
        <w:rPr>
          <w:rFonts w:asciiTheme="minorHAnsi" w:hAnsiTheme="minorHAnsi"/>
          <w:b/>
          <w:i/>
          <w:spacing w:val="-1"/>
        </w:rPr>
        <w:t xml:space="preserve"> </w:t>
      </w:r>
      <w:r w:rsidR="00796BED" w:rsidRPr="00AD1209">
        <w:rPr>
          <w:rFonts w:asciiTheme="minorHAnsi" w:hAnsiTheme="minorHAnsi"/>
          <w:b/>
          <w:i/>
          <w:spacing w:val="-1"/>
        </w:rPr>
        <w:t>For</w:t>
      </w:r>
      <w:r w:rsidR="00AD1209" w:rsidRPr="00AD1209">
        <w:rPr>
          <w:rFonts w:asciiTheme="minorHAnsi" w:hAnsiTheme="minorHAnsi"/>
          <w:b/>
          <w:i/>
          <w:spacing w:val="-1"/>
        </w:rPr>
        <w:t xml:space="preserve"> temperature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 violations above 45°F</w:t>
      </w:r>
      <w:r w:rsidR="004F1FC0" w:rsidRPr="00AD1209">
        <w:rPr>
          <w:rFonts w:asciiTheme="minorHAnsi" w:hAnsiTheme="minorHAnsi"/>
          <w:b/>
          <w:i/>
          <w:spacing w:val="-1"/>
        </w:rPr>
        <w:t>,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 points </w:t>
      </w:r>
      <w:r>
        <w:rPr>
          <w:rFonts w:asciiTheme="minorHAnsi" w:hAnsiTheme="minorHAnsi"/>
          <w:b/>
          <w:i/>
          <w:spacing w:val="-1"/>
        </w:rPr>
        <w:t>should</w:t>
      </w:r>
      <w:r w:rsidRPr="00AD1209">
        <w:rPr>
          <w:rFonts w:asciiTheme="minorHAnsi" w:hAnsiTheme="minorHAnsi"/>
          <w:b/>
          <w:i/>
          <w:spacing w:val="-1"/>
        </w:rPr>
        <w:t xml:space="preserve"> 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be </w:t>
      </w:r>
      <w:proofErr w:type="gramStart"/>
      <w:r w:rsidR="009D3BAC">
        <w:rPr>
          <w:rFonts w:asciiTheme="minorHAnsi" w:hAnsiTheme="minorHAnsi"/>
          <w:b/>
          <w:i/>
          <w:spacing w:val="-1"/>
        </w:rPr>
        <w:t>deducted</w:t>
      </w:r>
      <w:proofErr w:type="gramEnd"/>
      <w:r w:rsidR="009D3BAC">
        <w:rPr>
          <w:rFonts w:asciiTheme="minorHAnsi" w:hAnsiTheme="minorHAnsi"/>
          <w:b/>
          <w:i/>
          <w:spacing w:val="-1"/>
        </w:rPr>
        <w:t xml:space="preserve"> 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and </w:t>
      </w:r>
      <w:r w:rsidR="004F1FC0" w:rsidRPr="00AD1209">
        <w:rPr>
          <w:rFonts w:asciiTheme="minorHAnsi" w:hAnsiTheme="minorHAnsi"/>
          <w:b/>
          <w:i/>
          <w:spacing w:val="-1"/>
        </w:rPr>
        <w:t>corrective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 action</w:t>
      </w:r>
      <w:r w:rsidR="004F1FC0" w:rsidRPr="00AD1209">
        <w:rPr>
          <w:rFonts w:asciiTheme="minorHAnsi" w:hAnsiTheme="minorHAnsi"/>
          <w:b/>
          <w:i/>
          <w:spacing w:val="-1"/>
        </w:rPr>
        <w:t>s</w:t>
      </w:r>
      <w:r w:rsidR="00796BED" w:rsidRPr="00AD1209">
        <w:rPr>
          <w:rFonts w:asciiTheme="minorHAnsi" w:hAnsiTheme="minorHAnsi"/>
          <w:b/>
          <w:i/>
          <w:spacing w:val="-1"/>
        </w:rPr>
        <w:t xml:space="preserve"> </w:t>
      </w:r>
      <w:r>
        <w:rPr>
          <w:rFonts w:asciiTheme="minorHAnsi" w:hAnsiTheme="minorHAnsi"/>
          <w:b/>
          <w:i/>
          <w:spacing w:val="-1"/>
        </w:rPr>
        <w:t>should be achieved according to current practice</w:t>
      </w:r>
      <w:r w:rsidR="00796BED" w:rsidRPr="00AD1209">
        <w:rPr>
          <w:rFonts w:asciiTheme="minorHAnsi" w:hAnsiTheme="minorHAnsi"/>
          <w:b/>
          <w:i/>
          <w:spacing w:val="-1"/>
        </w:rPr>
        <w:t>.</w:t>
      </w:r>
      <w:r w:rsidR="00796BED" w:rsidRPr="00872105">
        <w:rPr>
          <w:rFonts w:asciiTheme="minorHAnsi" w:hAnsiTheme="minorHAnsi"/>
          <w:b/>
          <w:i/>
          <w:spacing w:val="-1"/>
        </w:rPr>
        <w:t xml:space="preserve"> </w:t>
      </w:r>
    </w:p>
    <w:p w14:paraId="41583D98" w14:textId="77777777" w:rsidR="00796BED" w:rsidRDefault="00796BED" w:rsidP="00796BED">
      <w:pPr>
        <w:rPr>
          <w:rFonts w:asciiTheme="minorHAnsi" w:hAnsiTheme="minorHAnsi"/>
          <w:spacing w:val="-1"/>
        </w:rPr>
      </w:pPr>
    </w:p>
    <w:p w14:paraId="713FC8EE" w14:textId="753AD5F8" w:rsidR="00796BED" w:rsidRPr="001B4207" w:rsidRDefault="00796BED" w:rsidP="00796BED">
      <w:pPr>
        <w:tabs>
          <w:tab w:val="left" w:pos="4200"/>
        </w:tabs>
      </w:pPr>
      <w:r>
        <w:t>When food is found</w:t>
      </w:r>
      <w:r w:rsidR="003B2A34">
        <w:t xml:space="preserve"> </w:t>
      </w:r>
      <w:r>
        <w:t>between 42</w:t>
      </w:r>
      <w:r>
        <w:rPr>
          <w:rFonts w:ascii="Times New Roman" w:hAnsi="Times New Roman"/>
        </w:rPr>
        <w:t>°</w:t>
      </w:r>
      <w:r>
        <w:t>F and 45</w:t>
      </w:r>
      <w:r>
        <w:rPr>
          <w:rFonts w:ascii="Times New Roman" w:hAnsi="Times New Roman"/>
        </w:rPr>
        <w:t>°</w:t>
      </w:r>
      <w:r>
        <w:t xml:space="preserve">F, this is considered a critical violation and </w:t>
      </w:r>
      <w:r w:rsidR="00861A21">
        <w:t>must</w:t>
      </w:r>
      <w:r>
        <w:t xml:space="preserve"> be corrected during the inspection. </w:t>
      </w:r>
      <w:r w:rsidR="006063CD" w:rsidRPr="003B2A34">
        <w:t>C</w:t>
      </w:r>
      <w:r w:rsidRPr="003B2A34">
        <w:t>orrecti</w:t>
      </w:r>
      <w:r w:rsidR="003B2A34" w:rsidRPr="003B2A34">
        <w:t>ve</w:t>
      </w:r>
      <w:r w:rsidR="006063CD">
        <w:t xml:space="preserve"> action includes</w:t>
      </w:r>
      <w:r>
        <w:t xml:space="preserve"> using education, </w:t>
      </w:r>
      <w:r w:rsidR="00A3004D">
        <w:t>voluntary disposal,</w:t>
      </w:r>
      <w:r>
        <w:t xml:space="preserve"> </w:t>
      </w:r>
      <w:r w:rsidR="00A82F20">
        <w:t xml:space="preserve">and </w:t>
      </w:r>
      <w:r>
        <w:t>Risk Control Plans</w:t>
      </w:r>
      <w:r w:rsidR="00D27C69">
        <w:t xml:space="preserve"> (RCPs).</w:t>
      </w:r>
      <w:r>
        <w:t xml:space="preserve"> </w:t>
      </w:r>
      <w:bookmarkStart w:id="1" w:name="_Hlk523938217"/>
      <w:r>
        <w:t xml:space="preserve">Education can consist of guidance documents </w:t>
      </w:r>
      <w:r w:rsidRPr="006063CD">
        <w:t>with explanation</w:t>
      </w:r>
      <w:r>
        <w:t xml:space="preserve"> and staff training. </w:t>
      </w:r>
      <w:r w:rsidR="00A663BD">
        <w:t>The corrective</w:t>
      </w:r>
      <w:r w:rsidR="003B2A34">
        <w:t xml:space="preserve"> action</w:t>
      </w:r>
      <w:r w:rsidR="00BF567B">
        <w:t xml:space="preserve"> </w:t>
      </w:r>
      <w:r w:rsidR="00A663BD">
        <w:t xml:space="preserve">taken should be documented on the inspection report. </w:t>
      </w:r>
      <w:r>
        <w:t xml:space="preserve">All correction options listed here allow </w:t>
      </w:r>
      <w:r w:rsidR="00427A37">
        <w:t xml:space="preserve">an </w:t>
      </w:r>
      <w:r w:rsidR="00A478C4">
        <w:t xml:space="preserve">Authorized Agent </w:t>
      </w:r>
      <w:r>
        <w:t>to mark the ‘CDI’ box on the inspection sheet.</w:t>
      </w:r>
      <w:bookmarkEnd w:id="1"/>
      <w:r w:rsidR="00D27C69">
        <w:t xml:space="preserve"> </w:t>
      </w:r>
      <w:r w:rsidR="00D27C69" w:rsidRPr="00321992">
        <w:t>Follow up visits may still be performed and are encouraged to aid in compliance.</w:t>
      </w:r>
      <w:r w:rsidR="001B4207" w:rsidRPr="00321992">
        <w:t xml:space="preserve"> </w:t>
      </w:r>
    </w:p>
    <w:p w14:paraId="6F2F12B8" w14:textId="77777777" w:rsidR="00796BED" w:rsidRDefault="00796BED" w:rsidP="00796BED">
      <w:pPr>
        <w:rPr>
          <w:rFonts w:asciiTheme="minorHAnsi" w:hAnsiTheme="minorHAnsi"/>
          <w:spacing w:val="-1"/>
        </w:rPr>
      </w:pPr>
    </w:p>
    <w:p w14:paraId="7BEE1972" w14:textId="49AC76C2" w:rsidR="00796BED" w:rsidRDefault="00796BED" w:rsidP="00796BED">
      <w:r w:rsidRPr="00872105">
        <w:rPr>
          <w:rFonts w:asciiTheme="minorHAnsi" w:hAnsiTheme="minorHAnsi"/>
          <w:spacing w:val="-1"/>
        </w:rPr>
        <w:t xml:space="preserve">After each establishment has had at least </w:t>
      </w:r>
      <w:r w:rsidR="00AA3F57">
        <w:rPr>
          <w:rFonts w:asciiTheme="minorHAnsi" w:hAnsiTheme="minorHAnsi"/>
          <w:spacing w:val="-1"/>
        </w:rPr>
        <w:t>one</w:t>
      </w:r>
      <w:r w:rsidR="00AA3F57" w:rsidRPr="00872105">
        <w:rPr>
          <w:rFonts w:asciiTheme="minorHAnsi" w:hAnsiTheme="minorHAnsi"/>
          <w:spacing w:val="-1"/>
        </w:rPr>
        <w:t xml:space="preserve"> </w:t>
      </w:r>
      <w:r w:rsidRPr="00872105">
        <w:rPr>
          <w:rFonts w:asciiTheme="minorHAnsi" w:hAnsiTheme="minorHAnsi"/>
          <w:spacing w:val="-1"/>
        </w:rPr>
        <w:t xml:space="preserve">inspection </w:t>
      </w:r>
      <w:r w:rsidR="003B2A34" w:rsidRPr="00B85C32">
        <w:rPr>
          <w:rFonts w:asciiTheme="minorHAnsi" w:hAnsiTheme="minorHAnsi"/>
          <w:spacing w:val="-1"/>
        </w:rPr>
        <w:t>in</w:t>
      </w:r>
      <w:r w:rsidRPr="00B85C32">
        <w:rPr>
          <w:rFonts w:asciiTheme="minorHAnsi" w:hAnsiTheme="minorHAnsi"/>
          <w:spacing w:val="-1"/>
        </w:rPr>
        <w:t xml:space="preserve"> 2019</w:t>
      </w:r>
      <w:r w:rsidRPr="00872105">
        <w:rPr>
          <w:rFonts w:asciiTheme="minorHAnsi" w:hAnsiTheme="minorHAnsi"/>
          <w:spacing w:val="-1"/>
        </w:rPr>
        <w:t xml:space="preserve"> under the 41</w:t>
      </w:r>
      <w:r>
        <w:rPr>
          <w:rFonts w:asciiTheme="minorHAnsi" w:hAnsiTheme="minorHAnsi"/>
          <w:spacing w:val="-1"/>
        </w:rPr>
        <w:t>°</w:t>
      </w:r>
      <w:r w:rsidRPr="008A0662">
        <w:rPr>
          <w:rFonts w:asciiTheme="minorHAnsi" w:hAnsiTheme="minorHAnsi"/>
          <w:spacing w:val="-1"/>
        </w:rPr>
        <w:t>F</w:t>
      </w:r>
      <w:r w:rsidRPr="00872105">
        <w:rPr>
          <w:rFonts w:asciiTheme="minorHAnsi" w:hAnsiTheme="minorHAnsi"/>
          <w:spacing w:val="-1"/>
        </w:rPr>
        <w:t xml:space="preserve"> temperature </w:t>
      </w:r>
      <w:r w:rsidR="003B2A34">
        <w:rPr>
          <w:rFonts w:asciiTheme="minorHAnsi" w:hAnsiTheme="minorHAnsi"/>
          <w:spacing w:val="-1"/>
        </w:rPr>
        <w:t>requirement</w:t>
      </w:r>
      <w:r w:rsidR="004553A7">
        <w:rPr>
          <w:rFonts w:asciiTheme="minorHAnsi" w:hAnsiTheme="minorHAnsi"/>
          <w:spacing w:val="-1"/>
        </w:rPr>
        <w:t>,</w:t>
      </w:r>
      <w:r w:rsidRPr="00872105">
        <w:rPr>
          <w:rFonts w:asciiTheme="minorHAnsi" w:hAnsiTheme="minorHAnsi"/>
          <w:spacing w:val="-1"/>
        </w:rPr>
        <w:t xml:space="preserve"> points will be a</w:t>
      </w:r>
      <w:r w:rsidR="000108D2">
        <w:rPr>
          <w:rFonts w:asciiTheme="minorHAnsi" w:hAnsiTheme="minorHAnsi"/>
          <w:spacing w:val="-1"/>
        </w:rPr>
        <w:t>ss</w:t>
      </w:r>
      <w:r w:rsidRPr="00872105">
        <w:rPr>
          <w:rFonts w:asciiTheme="minorHAnsi" w:hAnsiTheme="minorHAnsi"/>
          <w:spacing w:val="-1"/>
        </w:rPr>
        <w:t xml:space="preserve">essed as explained in </w:t>
      </w:r>
      <w:r w:rsidR="00AA3F57">
        <w:rPr>
          <w:rFonts w:asciiTheme="minorHAnsi" w:hAnsiTheme="minorHAnsi"/>
          <w:spacing w:val="-1"/>
        </w:rPr>
        <w:t xml:space="preserve">Rule </w:t>
      </w:r>
      <w:r w:rsidRPr="00872105">
        <w:rPr>
          <w:rFonts w:asciiTheme="minorHAnsi" w:hAnsiTheme="minorHAnsi"/>
          <w:spacing w:val="-1"/>
        </w:rPr>
        <w:t xml:space="preserve">.2661(e). No permit action or </w:t>
      </w:r>
      <w:r w:rsidR="006063CD">
        <w:rPr>
          <w:rFonts w:asciiTheme="minorHAnsi" w:hAnsiTheme="minorHAnsi"/>
          <w:spacing w:val="-1"/>
        </w:rPr>
        <w:t>e</w:t>
      </w:r>
      <w:r w:rsidRPr="00872105">
        <w:rPr>
          <w:rFonts w:asciiTheme="minorHAnsi" w:hAnsiTheme="minorHAnsi"/>
          <w:spacing w:val="-1"/>
        </w:rPr>
        <w:t xml:space="preserve">mbargo </w:t>
      </w:r>
      <w:r w:rsidRPr="00872105">
        <w:rPr>
          <w:rFonts w:asciiTheme="minorHAnsi" w:hAnsiTheme="minorHAnsi"/>
          <w:spacing w:val="-1"/>
        </w:rPr>
        <w:lastRenderedPageBreak/>
        <w:t>authority should be used for 4</w:t>
      </w:r>
      <w:r>
        <w:rPr>
          <w:rFonts w:asciiTheme="minorHAnsi" w:hAnsiTheme="minorHAnsi"/>
          <w:spacing w:val="-1"/>
        </w:rPr>
        <w:t>2</w:t>
      </w:r>
      <w:r w:rsidRPr="00872105">
        <w:rPr>
          <w:rFonts w:asciiTheme="minorHAnsi" w:hAnsiTheme="minorHAnsi"/>
          <w:spacing w:val="-1"/>
        </w:rPr>
        <w:t>-45</w:t>
      </w:r>
      <w:r>
        <w:rPr>
          <w:rFonts w:asciiTheme="minorHAnsi" w:hAnsiTheme="minorHAnsi"/>
          <w:spacing w:val="-1"/>
        </w:rPr>
        <w:t>°</w:t>
      </w:r>
      <w:r w:rsidRPr="008A0662">
        <w:rPr>
          <w:rFonts w:asciiTheme="minorHAnsi" w:hAnsiTheme="minorHAnsi"/>
          <w:spacing w:val="-1"/>
        </w:rPr>
        <w:t>F</w:t>
      </w:r>
      <w:r w:rsidRPr="00872105">
        <w:rPr>
          <w:rFonts w:asciiTheme="minorHAnsi" w:hAnsiTheme="minorHAnsi"/>
          <w:spacing w:val="-1"/>
        </w:rPr>
        <w:t xml:space="preserve"> cold holding violations alone. Determining the cause</w:t>
      </w:r>
      <w:r w:rsidR="00ED6F30">
        <w:rPr>
          <w:rFonts w:asciiTheme="minorHAnsi" w:hAnsiTheme="minorHAnsi"/>
          <w:spacing w:val="-1"/>
        </w:rPr>
        <w:t xml:space="preserve"> </w:t>
      </w:r>
      <w:r w:rsidR="00AA3F57">
        <w:rPr>
          <w:rFonts w:asciiTheme="minorHAnsi" w:hAnsiTheme="minorHAnsi"/>
          <w:spacing w:val="-1"/>
        </w:rPr>
        <w:t xml:space="preserve">of the violation </w:t>
      </w:r>
      <w:r w:rsidR="00ED6F30">
        <w:rPr>
          <w:rFonts w:asciiTheme="minorHAnsi" w:hAnsiTheme="minorHAnsi"/>
          <w:spacing w:val="-1"/>
        </w:rPr>
        <w:t xml:space="preserve">and </w:t>
      </w:r>
      <w:r w:rsidR="00ED6F30" w:rsidRPr="00321992">
        <w:rPr>
          <w:rFonts w:asciiTheme="minorHAnsi" w:hAnsiTheme="minorHAnsi"/>
          <w:spacing w:val="-1"/>
        </w:rPr>
        <w:t xml:space="preserve">educating operators </w:t>
      </w:r>
      <w:r w:rsidR="00AA3F57" w:rsidRPr="00321992">
        <w:rPr>
          <w:rFonts w:asciiTheme="minorHAnsi" w:hAnsiTheme="minorHAnsi"/>
          <w:spacing w:val="-1"/>
        </w:rPr>
        <w:t>about</w:t>
      </w:r>
      <w:r w:rsidR="00ED6F30" w:rsidRPr="00321992">
        <w:rPr>
          <w:rFonts w:asciiTheme="minorHAnsi" w:hAnsiTheme="minorHAnsi"/>
          <w:spacing w:val="-1"/>
        </w:rPr>
        <w:t xml:space="preserve"> compliance with the 41°F temperature requirement</w:t>
      </w:r>
      <w:r w:rsidR="00C91BF7">
        <w:rPr>
          <w:rFonts w:asciiTheme="minorHAnsi" w:hAnsiTheme="minorHAnsi"/>
          <w:spacing w:val="-1"/>
        </w:rPr>
        <w:t>-not assessing point deductions-</w:t>
      </w:r>
      <w:r w:rsidR="00AA3F57">
        <w:rPr>
          <w:rFonts w:asciiTheme="minorHAnsi" w:hAnsiTheme="minorHAnsi"/>
          <w:spacing w:val="-1"/>
        </w:rPr>
        <w:t>is our</w:t>
      </w:r>
      <w:r w:rsidRPr="00872105">
        <w:rPr>
          <w:rFonts w:asciiTheme="minorHAnsi" w:hAnsiTheme="minorHAnsi"/>
          <w:spacing w:val="-1"/>
        </w:rPr>
        <w:t xml:space="preserve"> priority</w:t>
      </w:r>
      <w:r w:rsidR="00861A21">
        <w:rPr>
          <w:rFonts w:asciiTheme="minorHAnsi" w:hAnsiTheme="minorHAnsi"/>
          <w:spacing w:val="-1"/>
        </w:rPr>
        <w:t xml:space="preserve"> </w:t>
      </w:r>
      <w:r w:rsidR="00AA3F57">
        <w:rPr>
          <w:rFonts w:asciiTheme="minorHAnsi" w:hAnsiTheme="minorHAnsi"/>
          <w:spacing w:val="-1"/>
        </w:rPr>
        <w:t>as Environmental Health Specialists</w:t>
      </w:r>
      <w:bookmarkStart w:id="2" w:name="_GoBack"/>
      <w:bookmarkEnd w:id="2"/>
      <w:r w:rsidRPr="00872105">
        <w:rPr>
          <w:rFonts w:asciiTheme="minorHAnsi" w:hAnsiTheme="minorHAnsi"/>
          <w:spacing w:val="-1"/>
        </w:rPr>
        <w:t xml:space="preserve">. </w:t>
      </w:r>
      <w:r w:rsidR="004553A7" w:rsidRPr="004553A7">
        <w:t>Document cause</w:t>
      </w:r>
      <w:r w:rsidR="00AA3F57">
        <w:t xml:space="preserve"> of the violation</w:t>
      </w:r>
      <w:r w:rsidR="004553A7" w:rsidRPr="004553A7">
        <w:t xml:space="preserve"> on</w:t>
      </w:r>
      <w:r w:rsidR="003B2A34">
        <w:t xml:space="preserve"> the</w:t>
      </w:r>
      <w:r w:rsidR="004553A7" w:rsidRPr="004553A7">
        <w:t xml:space="preserve"> inspection form and suggest corrective actions as </w:t>
      </w:r>
      <w:r w:rsidR="004553A7">
        <w:t xml:space="preserve">previously </w:t>
      </w:r>
      <w:r w:rsidR="004553A7" w:rsidRPr="004553A7">
        <w:t>outlin</w:t>
      </w:r>
      <w:r w:rsidR="004553A7">
        <w:t>ed.</w:t>
      </w:r>
    </w:p>
    <w:p w14:paraId="70C00DC8" w14:textId="12DDA7AC" w:rsidR="001C4902" w:rsidRDefault="001C4902" w:rsidP="00796BED">
      <w:pPr>
        <w:rPr>
          <w:rFonts w:asciiTheme="minorHAnsi" w:hAnsiTheme="minorHAnsi"/>
          <w:spacing w:val="-1"/>
        </w:rPr>
      </w:pPr>
    </w:p>
    <w:p w14:paraId="5C762841" w14:textId="6FACBD35" w:rsidR="001C4902" w:rsidRPr="0031053F" w:rsidRDefault="00D620A3" w:rsidP="00796BED">
      <w:pPr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 </w:t>
      </w:r>
      <w:r w:rsidRPr="00D620A3">
        <w:rPr>
          <w:rFonts w:asciiTheme="minorHAnsi" w:hAnsiTheme="minorHAnsi"/>
          <w:b/>
          <w:i/>
          <w:spacing w:val="-1"/>
        </w:rPr>
        <w:t>Achieving Long Term Compliance</w:t>
      </w:r>
      <w:r w:rsidR="003F1133">
        <w:rPr>
          <w:rFonts w:asciiTheme="minorHAnsi" w:hAnsiTheme="minorHAnsi"/>
          <w:spacing w:val="-1"/>
        </w:rPr>
        <w:t xml:space="preserve"> – </w:t>
      </w:r>
      <w:r>
        <w:rPr>
          <w:rFonts w:asciiTheme="minorHAnsi" w:hAnsiTheme="minorHAnsi"/>
          <w:spacing w:val="-1"/>
        </w:rPr>
        <w:t>V</w:t>
      </w:r>
      <w:r w:rsidR="001C4902">
        <w:rPr>
          <w:rFonts w:asciiTheme="minorHAnsi" w:hAnsiTheme="minorHAnsi"/>
          <w:spacing w:val="-1"/>
        </w:rPr>
        <w:t xml:space="preserve">ariances </w:t>
      </w:r>
      <w:r>
        <w:rPr>
          <w:rFonts w:asciiTheme="minorHAnsi" w:hAnsiTheme="minorHAnsi"/>
          <w:spacing w:val="-1"/>
        </w:rPr>
        <w:t>may</w:t>
      </w:r>
      <w:r w:rsidR="001C4902">
        <w:rPr>
          <w:rFonts w:asciiTheme="minorHAnsi" w:hAnsiTheme="minorHAnsi"/>
          <w:spacing w:val="-1"/>
        </w:rPr>
        <w:t xml:space="preserve"> be granted for</w:t>
      </w:r>
      <w:r w:rsidR="003F1133">
        <w:rPr>
          <w:rFonts w:asciiTheme="minorHAnsi" w:hAnsiTheme="minorHAnsi"/>
          <w:spacing w:val="-1"/>
        </w:rPr>
        <w:t xml:space="preserve"> D</w:t>
      </w:r>
      <w:r w:rsidR="001C4902">
        <w:rPr>
          <w:rFonts w:asciiTheme="minorHAnsi" w:hAnsiTheme="minorHAnsi"/>
          <w:spacing w:val="-1"/>
        </w:rPr>
        <w:t>ate</w:t>
      </w:r>
      <w:r w:rsidR="003F1133">
        <w:rPr>
          <w:rFonts w:asciiTheme="minorHAnsi" w:hAnsiTheme="minorHAnsi"/>
          <w:spacing w:val="-1"/>
        </w:rPr>
        <w:t xml:space="preserve"> M</w:t>
      </w:r>
      <w:r w:rsidR="001C4902">
        <w:rPr>
          <w:rFonts w:asciiTheme="minorHAnsi" w:hAnsiTheme="minorHAnsi"/>
          <w:spacing w:val="-1"/>
        </w:rPr>
        <w:t xml:space="preserve">arking for 4 days at a </w:t>
      </w:r>
      <w:r w:rsidR="003F1133">
        <w:rPr>
          <w:rFonts w:asciiTheme="minorHAnsi" w:hAnsiTheme="minorHAnsi"/>
          <w:spacing w:val="-1"/>
        </w:rPr>
        <w:t>maximum</w:t>
      </w:r>
      <w:r w:rsidR="001C4902">
        <w:rPr>
          <w:rFonts w:asciiTheme="minorHAnsi" w:hAnsiTheme="minorHAnsi"/>
          <w:spacing w:val="-1"/>
        </w:rPr>
        <w:t xml:space="preserve"> of 45</w:t>
      </w:r>
      <w:r w:rsidR="003F1133">
        <w:rPr>
          <w:rFonts w:asciiTheme="minorHAnsi" w:hAnsiTheme="minorHAnsi"/>
          <w:spacing w:val="-1"/>
        </w:rPr>
        <w:t xml:space="preserve">°F </w:t>
      </w:r>
      <w:r w:rsidR="001C4902">
        <w:rPr>
          <w:rFonts w:asciiTheme="minorHAnsi" w:hAnsiTheme="minorHAnsi"/>
          <w:spacing w:val="-1"/>
        </w:rPr>
        <w:t xml:space="preserve">or </w:t>
      </w:r>
      <w:r w:rsidR="003F1133">
        <w:rPr>
          <w:rFonts w:asciiTheme="minorHAnsi" w:hAnsiTheme="minorHAnsi"/>
          <w:spacing w:val="-1"/>
        </w:rPr>
        <w:t>TPHC</w:t>
      </w:r>
      <w:r w:rsidR="001C4902">
        <w:rPr>
          <w:rFonts w:asciiTheme="minorHAnsi" w:hAnsiTheme="minorHAnsi"/>
          <w:spacing w:val="-1"/>
        </w:rPr>
        <w:t xml:space="preserve"> starting at a maximum of 45</w:t>
      </w:r>
      <w:r w:rsidR="003F1133">
        <w:rPr>
          <w:rFonts w:asciiTheme="minorHAnsi" w:hAnsiTheme="minorHAnsi"/>
          <w:spacing w:val="-1"/>
        </w:rPr>
        <w:t>°F</w:t>
      </w:r>
      <w:r w:rsidR="001C4902">
        <w:rPr>
          <w:rFonts w:asciiTheme="minorHAnsi" w:hAnsiTheme="minorHAnsi"/>
          <w:spacing w:val="-1"/>
        </w:rPr>
        <w:t xml:space="preserve"> for 4 hours</w:t>
      </w:r>
      <w:r w:rsidR="003F1133">
        <w:rPr>
          <w:rFonts w:asciiTheme="minorHAnsi" w:hAnsiTheme="minorHAnsi"/>
          <w:spacing w:val="-1"/>
        </w:rPr>
        <w:t xml:space="preserve"> only</w:t>
      </w:r>
      <w:r w:rsidR="00C34CC3">
        <w:rPr>
          <w:rFonts w:asciiTheme="minorHAnsi" w:hAnsiTheme="minorHAnsi"/>
          <w:spacing w:val="-1"/>
        </w:rPr>
        <w:t xml:space="preserve"> (even if held at 70°F)</w:t>
      </w:r>
      <w:r w:rsidR="001C4902">
        <w:rPr>
          <w:rFonts w:asciiTheme="minorHAnsi" w:hAnsiTheme="minorHAnsi"/>
          <w:spacing w:val="-1"/>
        </w:rPr>
        <w:t xml:space="preserve">. </w:t>
      </w:r>
      <w:r w:rsidR="00D27C69" w:rsidRPr="00DE6B79">
        <w:rPr>
          <w:rFonts w:asciiTheme="minorHAnsi" w:hAnsiTheme="minorHAnsi"/>
          <w:spacing w:val="-1"/>
        </w:rPr>
        <w:t>G</w:t>
      </w:r>
      <w:r w:rsidR="00C34CC3" w:rsidRPr="00DE6B79">
        <w:rPr>
          <w:rFonts w:asciiTheme="minorHAnsi" w:hAnsiTheme="minorHAnsi"/>
          <w:spacing w:val="-1"/>
        </w:rPr>
        <w:t>uidance based on FDA</w:t>
      </w:r>
      <w:r w:rsidR="001C4902" w:rsidRPr="00DE6B79">
        <w:rPr>
          <w:rFonts w:asciiTheme="minorHAnsi" w:hAnsiTheme="minorHAnsi"/>
          <w:spacing w:val="-1"/>
        </w:rPr>
        <w:t xml:space="preserve"> computer modeling</w:t>
      </w:r>
      <w:r w:rsidR="00C34CC3" w:rsidRPr="00DE6B79">
        <w:rPr>
          <w:rFonts w:asciiTheme="minorHAnsi" w:hAnsiTheme="minorHAnsi"/>
          <w:spacing w:val="-1"/>
        </w:rPr>
        <w:t xml:space="preserve"> </w:t>
      </w:r>
      <w:r w:rsidRPr="00DE6B79">
        <w:rPr>
          <w:rFonts w:asciiTheme="minorHAnsi" w:hAnsiTheme="minorHAnsi"/>
          <w:spacing w:val="-1"/>
        </w:rPr>
        <w:t>has shown</w:t>
      </w:r>
      <w:r w:rsidR="00C34CC3" w:rsidRPr="00DE6B79">
        <w:rPr>
          <w:rFonts w:asciiTheme="minorHAnsi" w:hAnsiTheme="minorHAnsi"/>
          <w:spacing w:val="-1"/>
        </w:rPr>
        <w:t xml:space="preserve"> that </w:t>
      </w:r>
      <w:r w:rsidRPr="00DE6B79">
        <w:rPr>
          <w:rFonts w:asciiTheme="minorHAnsi" w:hAnsiTheme="minorHAnsi"/>
          <w:spacing w:val="-1"/>
        </w:rPr>
        <w:t xml:space="preserve">the </w:t>
      </w:r>
      <w:r w:rsidRPr="00DE6B79">
        <w:rPr>
          <w:rFonts w:asciiTheme="minorHAnsi" w:hAnsiTheme="minorHAnsi"/>
          <w:i/>
          <w:spacing w:val="-1"/>
        </w:rPr>
        <w:t>L</w:t>
      </w:r>
      <w:r w:rsidR="00C34CC3" w:rsidRPr="00DE6B79">
        <w:rPr>
          <w:rFonts w:asciiTheme="minorHAnsi" w:hAnsiTheme="minorHAnsi"/>
          <w:i/>
          <w:spacing w:val="-1"/>
        </w:rPr>
        <w:t>isteria monocytogenes</w:t>
      </w:r>
      <w:r w:rsidRPr="00DE6B79">
        <w:rPr>
          <w:rFonts w:asciiTheme="minorHAnsi" w:hAnsiTheme="minorHAnsi"/>
          <w:i/>
          <w:spacing w:val="-1"/>
        </w:rPr>
        <w:t xml:space="preserve"> </w:t>
      </w:r>
      <w:r w:rsidR="0031053F" w:rsidRPr="00DE6B79">
        <w:rPr>
          <w:rFonts w:asciiTheme="minorHAnsi" w:hAnsiTheme="minorHAnsi"/>
          <w:spacing w:val="-1"/>
        </w:rPr>
        <w:t xml:space="preserve">(LM) </w:t>
      </w:r>
      <w:r w:rsidRPr="00DE6B79">
        <w:rPr>
          <w:rFonts w:asciiTheme="minorHAnsi" w:hAnsiTheme="minorHAnsi"/>
          <w:spacing w:val="-1"/>
        </w:rPr>
        <w:t>risk is addressed using these procedures</w:t>
      </w:r>
      <w:r>
        <w:rPr>
          <w:rFonts w:asciiTheme="minorHAnsi" w:hAnsiTheme="minorHAnsi"/>
          <w:spacing w:val="-1"/>
        </w:rPr>
        <w:t>. Templates have been developed and can be utilized to achieve long term compliance. Variances will need to be approved</w:t>
      </w:r>
      <w:r w:rsidR="0031053F">
        <w:rPr>
          <w:rFonts w:asciiTheme="minorHAnsi" w:hAnsiTheme="minorHAnsi"/>
          <w:spacing w:val="-1"/>
        </w:rPr>
        <w:t xml:space="preserve"> and </w:t>
      </w:r>
      <w:r w:rsidR="0031053F" w:rsidRPr="00DE6B79">
        <w:rPr>
          <w:rFonts w:asciiTheme="minorHAnsi" w:hAnsiTheme="minorHAnsi"/>
          <w:spacing w:val="-1"/>
        </w:rPr>
        <w:t>supported</w:t>
      </w:r>
      <w:r w:rsidRPr="00DE6B79">
        <w:rPr>
          <w:rFonts w:asciiTheme="minorHAnsi" w:hAnsiTheme="minorHAnsi"/>
          <w:spacing w:val="-1"/>
        </w:rPr>
        <w:t xml:space="preserve"> by the</w:t>
      </w:r>
      <w:r w:rsidR="00E4503A" w:rsidRPr="00DE6B79">
        <w:rPr>
          <w:rFonts w:asciiTheme="minorHAnsi" w:hAnsiTheme="minorHAnsi"/>
          <w:spacing w:val="-1"/>
        </w:rPr>
        <w:t xml:space="preserve"> Local Health Department</w:t>
      </w:r>
      <w:r w:rsidRPr="00DE6B79">
        <w:rPr>
          <w:rFonts w:asciiTheme="minorHAnsi" w:hAnsiTheme="minorHAnsi"/>
          <w:spacing w:val="-1"/>
        </w:rPr>
        <w:t xml:space="preserve"> and then by the NCDHHS Variance committee.</w:t>
      </w:r>
      <w:r w:rsidR="0031053F" w:rsidRPr="00DE6B79">
        <w:rPr>
          <w:rFonts w:asciiTheme="minorHAnsi" w:hAnsiTheme="minorHAnsi"/>
          <w:spacing w:val="-1"/>
        </w:rPr>
        <w:t xml:space="preserve"> These options allow operators to control LM </w:t>
      </w:r>
      <w:r w:rsidR="00AA3F57" w:rsidRPr="00DE6B79">
        <w:rPr>
          <w:rFonts w:asciiTheme="minorHAnsi" w:hAnsiTheme="minorHAnsi"/>
          <w:spacing w:val="-1"/>
        </w:rPr>
        <w:t xml:space="preserve">and other pathogens of concern </w:t>
      </w:r>
      <w:r w:rsidR="0031053F" w:rsidRPr="00DE6B79">
        <w:rPr>
          <w:rFonts w:asciiTheme="minorHAnsi" w:hAnsiTheme="minorHAnsi"/>
          <w:spacing w:val="-1"/>
        </w:rPr>
        <w:t xml:space="preserve">and prevent point deductions. NOTE: Even if a variance for Date Marking and TPHC is granted and operators are following them, foods found between 42°F-45°F will still lead to point deductions for Cold Holding after the first inspection in 2019. </w:t>
      </w:r>
      <w:r w:rsidR="008E3C5F" w:rsidRPr="00DE6B79">
        <w:rPr>
          <w:rFonts w:asciiTheme="minorHAnsi" w:hAnsiTheme="minorHAnsi"/>
          <w:spacing w:val="-1"/>
        </w:rPr>
        <w:t>A</w:t>
      </w:r>
      <w:r w:rsidR="0031053F" w:rsidRPr="00DE6B79">
        <w:rPr>
          <w:rFonts w:asciiTheme="minorHAnsi" w:hAnsiTheme="minorHAnsi"/>
          <w:spacing w:val="-1"/>
        </w:rPr>
        <w:t xml:space="preserve"> variance</w:t>
      </w:r>
      <w:r w:rsidR="008E3C5F" w:rsidRPr="00DE6B79">
        <w:rPr>
          <w:rFonts w:asciiTheme="minorHAnsi" w:hAnsiTheme="minorHAnsi"/>
          <w:spacing w:val="-1"/>
        </w:rPr>
        <w:t xml:space="preserve"> to cover all aspects of cold holding</w:t>
      </w:r>
      <w:r w:rsidR="0031053F" w:rsidRPr="00DE6B79">
        <w:rPr>
          <w:rFonts w:asciiTheme="minorHAnsi" w:hAnsiTheme="minorHAnsi"/>
          <w:spacing w:val="-1"/>
        </w:rPr>
        <w:t xml:space="preserve"> will </w:t>
      </w:r>
      <w:r w:rsidR="0031053F" w:rsidRPr="00DE6B79">
        <w:rPr>
          <w:rFonts w:asciiTheme="minorHAnsi" w:hAnsiTheme="minorHAnsi"/>
          <w:i/>
          <w:spacing w:val="-1"/>
        </w:rPr>
        <w:t>not</w:t>
      </w:r>
      <w:r w:rsidR="0031053F" w:rsidRPr="00DE6B79">
        <w:rPr>
          <w:rFonts w:asciiTheme="minorHAnsi" w:hAnsiTheme="minorHAnsi"/>
          <w:spacing w:val="-1"/>
        </w:rPr>
        <w:t xml:space="preserve"> be granted </w:t>
      </w:r>
      <w:r w:rsidR="008E3C5F" w:rsidRPr="00DE6B79">
        <w:rPr>
          <w:rFonts w:asciiTheme="minorHAnsi" w:hAnsiTheme="minorHAnsi"/>
          <w:spacing w:val="-1"/>
        </w:rPr>
        <w:t>to allow</w:t>
      </w:r>
      <w:r w:rsidR="0031053F" w:rsidRPr="00DE6B79">
        <w:rPr>
          <w:rFonts w:asciiTheme="minorHAnsi" w:hAnsiTheme="minorHAnsi"/>
          <w:spacing w:val="-1"/>
        </w:rPr>
        <w:t xml:space="preserve"> foods to be held at 42°F-45°F because </w:t>
      </w:r>
      <w:r w:rsidR="00AA3F57" w:rsidRPr="00DE6B79">
        <w:rPr>
          <w:rFonts w:asciiTheme="minorHAnsi" w:hAnsiTheme="minorHAnsi"/>
          <w:spacing w:val="-1"/>
        </w:rPr>
        <w:t>this would significantly increase</w:t>
      </w:r>
      <w:r w:rsidR="0031053F" w:rsidRPr="00DE6B79">
        <w:rPr>
          <w:rFonts w:asciiTheme="minorHAnsi" w:hAnsiTheme="minorHAnsi"/>
          <w:spacing w:val="-1"/>
        </w:rPr>
        <w:t xml:space="preserve"> the risk</w:t>
      </w:r>
      <w:r w:rsidR="00CD2D67" w:rsidRPr="00DE6B79">
        <w:rPr>
          <w:rFonts w:asciiTheme="minorHAnsi" w:hAnsiTheme="minorHAnsi"/>
          <w:spacing w:val="-1"/>
        </w:rPr>
        <w:t xml:space="preserve"> to the public</w:t>
      </w:r>
      <w:r w:rsidR="0031053F" w:rsidRPr="00DE6B79">
        <w:rPr>
          <w:rFonts w:asciiTheme="minorHAnsi" w:hAnsiTheme="minorHAnsi"/>
          <w:spacing w:val="-1"/>
        </w:rPr>
        <w:t>.</w:t>
      </w:r>
      <w:r w:rsidR="0031053F">
        <w:rPr>
          <w:rFonts w:asciiTheme="minorHAnsi" w:hAnsiTheme="minorHAnsi"/>
          <w:spacing w:val="-1"/>
        </w:rPr>
        <w:t xml:space="preserve"> </w:t>
      </w:r>
    </w:p>
    <w:p w14:paraId="78532D50" w14:textId="77777777" w:rsidR="00796BED" w:rsidRDefault="00796BED" w:rsidP="00796BED">
      <w:pPr>
        <w:rPr>
          <w:rFonts w:asciiTheme="minorHAnsi" w:hAnsiTheme="minorHAnsi"/>
          <w:spacing w:val="-1"/>
        </w:rPr>
      </w:pPr>
    </w:p>
    <w:p w14:paraId="2B4BC6FC" w14:textId="77777777" w:rsidR="00D620A3" w:rsidRDefault="00D620A3" w:rsidP="00796BED">
      <w:pPr>
        <w:rPr>
          <w:rFonts w:asciiTheme="minorHAnsi" w:hAnsiTheme="minorHAnsi"/>
          <w:b/>
          <w:bCs/>
          <w:spacing w:val="-1"/>
        </w:rPr>
      </w:pPr>
    </w:p>
    <w:p w14:paraId="165711C0" w14:textId="10B5D8D3" w:rsidR="00796BED" w:rsidRDefault="00796BED" w:rsidP="00796BED">
      <w:pPr>
        <w:rPr>
          <w:rFonts w:asciiTheme="minorHAnsi" w:hAnsiTheme="minorHAnsi"/>
          <w:b/>
          <w:bCs/>
          <w:spacing w:val="-1"/>
        </w:rPr>
      </w:pPr>
      <w:r w:rsidRPr="0037087A">
        <w:rPr>
          <w:rFonts w:asciiTheme="minorHAnsi" w:hAnsiTheme="minorHAnsi"/>
          <w:b/>
          <w:bCs/>
          <w:spacing w:val="-1"/>
        </w:rPr>
        <w:t xml:space="preserve">REFERENCES: </w:t>
      </w:r>
    </w:p>
    <w:p w14:paraId="2550AF12" w14:textId="77777777" w:rsidR="00796BED" w:rsidRPr="0037087A" w:rsidRDefault="00796BED" w:rsidP="00796BED">
      <w:pPr>
        <w:rPr>
          <w:rFonts w:asciiTheme="minorHAnsi" w:hAnsiTheme="minorHAnsi"/>
          <w:spacing w:val="-1"/>
        </w:rPr>
      </w:pPr>
    </w:p>
    <w:p w14:paraId="2359017C" w14:textId="77777777" w:rsidR="00796BED" w:rsidRPr="00BB5D91" w:rsidRDefault="00796BED" w:rsidP="00796BED">
      <w:pPr>
        <w:pStyle w:val="ListParagraph"/>
        <w:numPr>
          <w:ilvl w:val="0"/>
          <w:numId w:val="5"/>
        </w:numPr>
        <w:rPr>
          <w:rFonts w:asciiTheme="minorHAnsi" w:hAnsiTheme="minorHAnsi"/>
          <w:spacing w:val="-1"/>
        </w:rPr>
      </w:pPr>
      <w:r w:rsidRPr="00BB5D91">
        <w:rPr>
          <w:rFonts w:asciiTheme="minorHAnsi" w:hAnsiTheme="minorHAnsi"/>
          <w:spacing w:val="-1"/>
        </w:rPr>
        <w:t xml:space="preserve">Rules Governing the Food Protection and Sanitation of Food Establishments, </w:t>
      </w:r>
      <w:hyperlink r:id="rId8" w:history="1">
        <w:r w:rsidRPr="00BB5D91">
          <w:rPr>
            <w:rStyle w:val="Hyperlink"/>
            <w:rFonts w:asciiTheme="minorHAnsi" w:hAnsiTheme="minorHAnsi"/>
            <w:spacing w:val="-1"/>
          </w:rPr>
          <w:t>15A NCAC 18A .2600</w:t>
        </w:r>
      </w:hyperlink>
    </w:p>
    <w:p w14:paraId="289AB183" w14:textId="77777777" w:rsidR="00796BED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  <w:spacing w:val="-1"/>
        </w:rPr>
      </w:pPr>
      <w:hyperlink r:id="rId9" w:history="1">
        <w:r w:rsidR="00796BED" w:rsidRPr="00BB5D91">
          <w:rPr>
            <w:rStyle w:val="Hyperlink"/>
            <w:rFonts w:asciiTheme="minorHAnsi" w:hAnsiTheme="minorHAnsi"/>
            <w:spacing w:val="-1"/>
          </w:rPr>
          <w:t>NC 2009 Food Code</w:t>
        </w:r>
      </w:hyperlink>
      <w:r w:rsidR="00796BED" w:rsidRPr="00BB5D91">
        <w:rPr>
          <w:rFonts w:asciiTheme="minorHAnsi" w:hAnsiTheme="minorHAnsi"/>
          <w:spacing w:val="-1"/>
        </w:rPr>
        <w:t xml:space="preserve"> </w:t>
      </w:r>
    </w:p>
    <w:p w14:paraId="5198C2A9" w14:textId="77777777" w:rsidR="00796BED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  <w:spacing w:val="-1"/>
        </w:rPr>
      </w:pPr>
      <w:hyperlink r:id="rId10" w:history="1">
        <w:r w:rsidR="00796BED" w:rsidRPr="00BB5D91">
          <w:rPr>
            <w:rStyle w:val="Hyperlink"/>
            <w:rFonts w:asciiTheme="minorHAnsi" w:hAnsiTheme="minorHAnsi"/>
            <w:spacing w:val="-1"/>
          </w:rPr>
          <w:t>NC General Statutes</w:t>
        </w:r>
      </w:hyperlink>
      <w:r w:rsidR="00796BED" w:rsidRPr="00BB5D91">
        <w:rPr>
          <w:rFonts w:asciiTheme="minorHAnsi" w:hAnsiTheme="minorHAnsi"/>
          <w:spacing w:val="-1"/>
        </w:rPr>
        <w:t xml:space="preserve"> </w:t>
      </w:r>
    </w:p>
    <w:p w14:paraId="6C709F97" w14:textId="186F7FB2" w:rsidR="00796BED" w:rsidRPr="00BB5D91" w:rsidRDefault="009B6EDC" w:rsidP="00796BED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hyperlink r:id="rId11" w:history="1">
        <w:r w:rsidR="00796BED" w:rsidRPr="00BB5D91">
          <w:rPr>
            <w:rStyle w:val="Hyperlink"/>
            <w:rFonts w:asciiTheme="minorHAnsi" w:hAnsiTheme="minorHAnsi"/>
            <w:spacing w:val="-1"/>
          </w:rPr>
          <w:t>Emergency Action Plan for Retail Food Establishments</w:t>
        </w:r>
      </w:hyperlink>
      <w:r w:rsidR="00796BED" w:rsidRPr="00BB5D91">
        <w:rPr>
          <w:rFonts w:asciiTheme="minorHAnsi" w:hAnsiTheme="minorHAnsi"/>
          <w:spacing w:val="-1"/>
        </w:rPr>
        <w:t xml:space="preserve"> </w:t>
      </w:r>
    </w:p>
    <w:p w14:paraId="08829A99" w14:textId="6622DD0A" w:rsidR="004D1252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hyperlink r:id="rId12" w:history="1">
        <w:r w:rsidR="004D1252" w:rsidRPr="00BB5D91">
          <w:rPr>
            <w:rStyle w:val="Hyperlink"/>
            <w:rFonts w:asciiTheme="minorHAnsi" w:hAnsiTheme="minorHAnsi"/>
          </w:rPr>
          <w:t>FDA Risk Assessment for Listeria monocytogenes growth of Ready-to-eat foods</w:t>
        </w:r>
      </w:hyperlink>
    </w:p>
    <w:p w14:paraId="6286A88A" w14:textId="69045907" w:rsidR="00F44EC7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hyperlink r:id="rId13" w:history="1">
        <w:r w:rsidR="00F44EC7" w:rsidRPr="00BB5D91">
          <w:rPr>
            <w:rStyle w:val="Hyperlink"/>
            <w:i/>
          </w:rPr>
          <w:t>Staphylococcus aureus</w:t>
        </w:r>
        <w:r w:rsidR="00F44EC7" w:rsidRPr="00BB5D91">
          <w:rPr>
            <w:rStyle w:val="Hyperlink"/>
          </w:rPr>
          <w:t xml:space="preserve"> Toxin Formation in Hydrated Batter Mixes</w:t>
        </w:r>
      </w:hyperlink>
    </w:p>
    <w:p w14:paraId="66D85EF9" w14:textId="159F5B49" w:rsidR="00F44EC7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hyperlink r:id="rId14" w:history="1">
        <w:r w:rsidR="00F44EC7" w:rsidRPr="00BB5D91">
          <w:rPr>
            <w:rStyle w:val="Hyperlink"/>
          </w:rPr>
          <w:t>Scombrotoxin (Histamine) Formation</w:t>
        </w:r>
      </w:hyperlink>
    </w:p>
    <w:p w14:paraId="1D7DCFB2" w14:textId="4940539D" w:rsidR="00F44EC7" w:rsidRPr="00BB5D91" w:rsidRDefault="009B6EDC" w:rsidP="00796BED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hyperlink r:id="rId15" w:history="1">
        <w:r w:rsidR="00F44EC7" w:rsidRPr="00BB5D91">
          <w:rPr>
            <w:rStyle w:val="Hyperlink"/>
          </w:rPr>
          <w:t>Clostridium botulinum Toxin Formation</w:t>
        </w:r>
      </w:hyperlink>
    </w:p>
    <w:p w14:paraId="37A747A9" w14:textId="77777777" w:rsidR="00796BED" w:rsidRPr="0037087A" w:rsidRDefault="00796BED" w:rsidP="00796BED">
      <w:pPr>
        <w:rPr>
          <w:rFonts w:asciiTheme="minorHAnsi" w:hAnsiTheme="minorHAnsi"/>
          <w:spacing w:val="-1"/>
        </w:rPr>
      </w:pPr>
    </w:p>
    <w:p w14:paraId="2774F623" w14:textId="3DE9148C" w:rsidR="00796BED" w:rsidRPr="00872105" w:rsidRDefault="00796BED" w:rsidP="00796BED">
      <w:pPr>
        <w:rPr>
          <w:rFonts w:asciiTheme="minorHAnsi" w:hAnsiTheme="minorHAnsi"/>
          <w:spacing w:val="-1"/>
        </w:rPr>
      </w:pPr>
      <w:r w:rsidRPr="0037087A">
        <w:rPr>
          <w:rFonts w:asciiTheme="minorHAnsi" w:hAnsiTheme="minorHAnsi"/>
          <w:i/>
          <w:iCs/>
          <w:spacing w:val="-1"/>
        </w:rPr>
        <w:t>NOTE: Position statements are policy documents to clarify how to interpret or enforce a law or rule.</w:t>
      </w:r>
      <w:r>
        <w:rPr>
          <w:rFonts w:asciiTheme="minorHAnsi" w:hAnsiTheme="minorHAnsi"/>
          <w:i/>
          <w:iCs/>
          <w:spacing w:val="-1"/>
        </w:rPr>
        <w:t xml:space="preserve"> </w:t>
      </w:r>
      <w:r w:rsidRPr="0037087A">
        <w:rPr>
          <w:rFonts w:asciiTheme="minorHAnsi" w:hAnsiTheme="minorHAnsi"/>
          <w:i/>
          <w:iCs/>
          <w:spacing w:val="-1"/>
        </w:rPr>
        <w:t xml:space="preserve">They are not enforceable on their </w:t>
      </w:r>
      <w:r w:rsidR="008A1E87" w:rsidRPr="0037087A">
        <w:rPr>
          <w:rFonts w:asciiTheme="minorHAnsi" w:hAnsiTheme="minorHAnsi"/>
          <w:i/>
          <w:iCs/>
          <w:spacing w:val="-1"/>
        </w:rPr>
        <w:t>own</w:t>
      </w:r>
      <w:r w:rsidR="006063CD">
        <w:rPr>
          <w:rFonts w:asciiTheme="minorHAnsi" w:hAnsiTheme="minorHAnsi"/>
          <w:i/>
          <w:iCs/>
          <w:spacing w:val="-1"/>
        </w:rPr>
        <w:t>,</w:t>
      </w:r>
      <w:r w:rsidR="008A1E87" w:rsidRPr="0037087A">
        <w:rPr>
          <w:rFonts w:asciiTheme="minorHAnsi" w:hAnsiTheme="minorHAnsi"/>
          <w:i/>
          <w:iCs/>
          <w:spacing w:val="-1"/>
        </w:rPr>
        <w:t xml:space="preserve"> but</w:t>
      </w:r>
      <w:r w:rsidRPr="0037087A">
        <w:rPr>
          <w:rFonts w:asciiTheme="minorHAnsi" w:hAnsiTheme="minorHAnsi"/>
          <w:i/>
          <w:iCs/>
          <w:spacing w:val="-1"/>
        </w:rPr>
        <w:t xml:space="preserve"> are intended to promote uniform interpretation and enforcement of the underlying law or rule.</w:t>
      </w:r>
    </w:p>
    <w:p w14:paraId="4D136B17" w14:textId="77777777" w:rsidR="00796BED" w:rsidRPr="00872105" w:rsidRDefault="00796BED" w:rsidP="00796BED">
      <w:pPr>
        <w:rPr>
          <w:rFonts w:asciiTheme="minorHAnsi" w:hAnsiTheme="minorHAnsi"/>
        </w:rPr>
      </w:pPr>
    </w:p>
    <w:p w14:paraId="7D002B0B" w14:textId="77777777" w:rsidR="00796BED" w:rsidRDefault="00796BED" w:rsidP="00796BED">
      <w:pPr>
        <w:rPr>
          <w:rFonts w:ascii="Arial" w:hAnsi="Arial" w:cs="Arial"/>
          <w:color w:val="000000"/>
          <w:sz w:val="20"/>
          <w:szCs w:val="20"/>
        </w:rPr>
      </w:pPr>
    </w:p>
    <w:p w14:paraId="0A802F19" w14:textId="77777777" w:rsidR="00796BED" w:rsidRPr="00BB4184" w:rsidRDefault="00796BED" w:rsidP="00796BED">
      <w:pPr>
        <w:rPr>
          <w:rFonts w:ascii="Arial" w:hAnsi="Arial" w:cs="Arial"/>
          <w:b/>
          <w:color w:val="000000"/>
          <w:sz w:val="20"/>
          <w:szCs w:val="20"/>
        </w:rPr>
      </w:pPr>
    </w:p>
    <w:p w14:paraId="729B8D59" w14:textId="77777777" w:rsidR="00796BED" w:rsidRPr="0003657B" w:rsidRDefault="00796BED" w:rsidP="00796BED">
      <w:pPr>
        <w:rPr>
          <w:color w:val="000000"/>
        </w:rPr>
      </w:pPr>
    </w:p>
    <w:p w14:paraId="3D0E0A33" w14:textId="77777777" w:rsidR="004318E0" w:rsidRPr="00E76EC2" w:rsidRDefault="004318E0" w:rsidP="00E76EC2"/>
    <w:sectPr w:rsidR="004318E0" w:rsidRPr="00E76EC2" w:rsidSect="007D475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E019" w14:textId="77777777" w:rsidR="009B6EDC" w:rsidRDefault="009B6EDC" w:rsidP="00A32A4C">
      <w:r>
        <w:separator/>
      </w:r>
    </w:p>
  </w:endnote>
  <w:endnote w:type="continuationSeparator" w:id="0">
    <w:p w14:paraId="33B46FDF" w14:textId="77777777" w:rsidR="009B6EDC" w:rsidRDefault="009B6EDC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C719" w14:textId="07A7071E" w:rsidR="00C30A39" w:rsidRPr="00313DEE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562A45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313DEE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5956E26C" w14:textId="77777777" w:rsidR="00A32A4C" w:rsidRPr="00313DEE" w:rsidRDefault="00A32A4C" w:rsidP="00C30A39">
    <w:pPr>
      <w:pStyle w:val="Footer"/>
      <w:rPr>
        <w:rFonts w:ascii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3E12" w14:textId="77777777" w:rsidR="007D4756" w:rsidRPr="0003657B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03657B">
      <w:rPr>
        <w:rFonts w:ascii="Arial" w:hAnsi="Arial" w:cs="Arial"/>
        <w:color w:val="000000"/>
      </w:rPr>
      <w:tab/>
    </w:r>
  </w:p>
  <w:p w14:paraId="5A25E75E" w14:textId="3C524ABA" w:rsidR="007D4756" w:rsidRPr="0003657B" w:rsidRDefault="007D4756" w:rsidP="007D4756">
    <w:pPr>
      <w:pStyle w:val="Footer"/>
      <w:spacing w:after="12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03657B">
      <w:rPr>
        <w:rFonts w:ascii="Arial" w:hAnsi="Arial" w:cs="Arial"/>
        <w:b/>
        <w:bCs/>
        <w:color w:val="000000"/>
        <w:sz w:val="16"/>
        <w:szCs w:val="16"/>
      </w:rPr>
      <w:t xml:space="preserve">NC DEPARTMENT OF HEALTH AND HUMAN </w:t>
    </w:r>
    <w:r w:rsidR="00260FC6" w:rsidRPr="0003657B">
      <w:rPr>
        <w:rFonts w:ascii="Arial" w:hAnsi="Arial" w:cs="Arial"/>
        <w:b/>
        <w:bCs/>
        <w:color w:val="000000"/>
        <w:sz w:val="16"/>
        <w:szCs w:val="16"/>
      </w:rPr>
      <w:t xml:space="preserve">SERVICES </w:t>
    </w:r>
    <w:proofErr w:type="gramStart"/>
    <w:r w:rsidR="00260FC6" w:rsidRPr="0003657B">
      <w:rPr>
        <w:rFonts w:ascii="Arial" w:hAnsi="Arial" w:cs="Arial"/>
        <w:color w:val="000000"/>
        <w:sz w:val="16"/>
        <w:szCs w:val="16"/>
      </w:rPr>
      <w:t>•</w:t>
    </w:r>
    <w:r w:rsidRPr="0003657B">
      <w:rPr>
        <w:rFonts w:ascii="Arial" w:hAnsi="Arial" w:cs="Arial"/>
        <w:b/>
        <w:bCs/>
        <w:color w:val="000000"/>
        <w:sz w:val="16"/>
        <w:szCs w:val="16"/>
      </w:rPr>
      <w:t xml:space="preserve"> </w:t>
    </w:r>
    <w:r w:rsidRPr="0003657B">
      <w:rPr>
        <w:rFonts w:ascii="Arial" w:hAnsi="Arial" w:cs="Arial"/>
        <w:color w:val="000000"/>
        <w:sz w:val="16"/>
        <w:szCs w:val="16"/>
      </w:rPr>
      <w:t xml:space="preserve"> </w:t>
    </w:r>
    <w:r w:rsidR="00FD2EFA">
      <w:rPr>
        <w:rFonts w:ascii="Arial" w:hAnsi="Arial" w:cs="Arial"/>
        <w:b/>
        <w:bCs/>
        <w:color w:val="000000"/>
        <w:sz w:val="16"/>
        <w:szCs w:val="16"/>
      </w:rPr>
      <w:t>DIVISION</w:t>
    </w:r>
    <w:proofErr w:type="gramEnd"/>
    <w:r w:rsidR="00FD2EFA">
      <w:rPr>
        <w:rFonts w:ascii="Arial" w:hAnsi="Arial" w:cs="Arial"/>
        <w:b/>
        <w:bCs/>
        <w:color w:val="000000"/>
        <w:sz w:val="16"/>
        <w:szCs w:val="16"/>
      </w:rPr>
      <w:t xml:space="preserve"> OF PUBLIC HEALTH</w:t>
    </w:r>
  </w:p>
  <w:p w14:paraId="7B29EF24" w14:textId="2847E9CA" w:rsidR="007D4756" w:rsidRPr="00260FC6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/>
        <w:sz w:val="16"/>
        <w:szCs w:val="16"/>
      </w:rPr>
    </w:pPr>
    <w:r w:rsidRPr="00260FC6">
      <w:rPr>
        <w:rFonts w:ascii="Arial" w:hAnsi="Arial" w:cs="Arial"/>
        <w:color w:val="000000"/>
        <w:sz w:val="16"/>
        <w:szCs w:val="16"/>
      </w:rPr>
      <w:t xml:space="preserve">LOCATION: </w:t>
    </w:r>
    <w:r w:rsidR="00260FC6" w:rsidRPr="00260FC6">
      <w:rPr>
        <w:rFonts w:ascii="Arial" w:hAnsi="Arial" w:cs="Arial"/>
        <w:color w:val="000000"/>
        <w:sz w:val="16"/>
        <w:szCs w:val="16"/>
      </w:rPr>
      <w:t>5605 SIX FORKS RD, RALEIGH NC 27609</w:t>
    </w:r>
  </w:p>
  <w:p w14:paraId="12C82ACC" w14:textId="4815D204" w:rsidR="007D4756" w:rsidRPr="00260FC6" w:rsidRDefault="00260FC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/>
        <w:sz w:val="16"/>
        <w:szCs w:val="16"/>
      </w:rPr>
    </w:pPr>
    <w:r w:rsidRPr="00260FC6">
      <w:rPr>
        <w:rFonts w:ascii="Arial" w:hAnsi="Arial" w:cs="Arial"/>
        <w:color w:val="000000"/>
        <w:sz w:val="16"/>
        <w:szCs w:val="16"/>
      </w:rPr>
      <w:t>MAILING ADDRESS: 1632 MAIL SERVICE CENTER, RALEIGH NC 27699-1632</w:t>
    </w:r>
  </w:p>
  <w:p w14:paraId="241E8B2F" w14:textId="695A9F00" w:rsidR="007D4756" w:rsidRPr="0003657B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03657B">
      <w:rPr>
        <w:rFonts w:ascii="Arial" w:hAnsi="Arial" w:cs="Arial"/>
        <w:color w:val="000000"/>
        <w:sz w:val="16"/>
        <w:szCs w:val="16"/>
      </w:rPr>
      <w:t>www.ncdhhs.gov  •</w:t>
    </w:r>
    <w:proofErr w:type="gramEnd"/>
    <w:r w:rsidRPr="0003657B">
      <w:rPr>
        <w:rFonts w:ascii="Arial" w:hAnsi="Arial" w:cs="Arial"/>
        <w:color w:val="000000"/>
        <w:sz w:val="16"/>
        <w:szCs w:val="16"/>
      </w:rPr>
      <w:t xml:space="preserve">  </w:t>
    </w:r>
    <w:r w:rsidRPr="0003657B">
      <w:rPr>
        <w:rFonts w:ascii="Arial" w:hAnsi="Arial" w:cs="Arial"/>
        <w:color w:val="000000"/>
        <w:sz w:val="13"/>
        <w:szCs w:val="16"/>
      </w:rPr>
      <w:t xml:space="preserve">TEL: </w:t>
    </w:r>
    <w:r w:rsidR="00260FC6" w:rsidRPr="00260FC6">
      <w:rPr>
        <w:rFonts w:ascii="Arial" w:hAnsi="Arial" w:cs="Arial"/>
        <w:color w:val="000000"/>
        <w:sz w:val="16"/>
        <w:szCs w:val="16"/>
      </w:rPr>
      <w:t>919</w:t>
    </w:r>
    <w:r w:rsidRPr="00260FC6">
      <w:rPr>
        <w:rFonts w:ascii="Arial" w:hAnsi="Arial" w:cs="Arial"/>
        <w:color w:val="000000"/>
        <w:sz w:val="16"/>
        <w:szCs w:val="16"/>
      </w:rPr>
      <w:t>-</w:t>
    </w:r>
    <w:r w:rsidR="00260FC6" w:rsidRPr="00260FC6">
      <w:rPr>
        <w:rFonts w:ascii="Arial" w:hAnsi="Arial" w:cs="Arial"/>
        <w:color w:val="000000"/>
        <w:sz w:val="16"/>
        <w:szCs w:val="16"/>
      </w:rPr>
      <w:t>707</w:t>
    </w:r>
    <w:r w:rsidR="00FD2EFA" w:rsidRPr="00260FC6">
      <w:rPr>
        <w:rFonts w:ascii="Arial" w:hAnsi="Arial" w:cs="Arial"/>
        <w:color w:val="000000"/>
        <w:sz w:val="16"/>
        <w:szCs w:val="16"/>
      </w:rPr>
      <w:t>-</w:t>
    </w:r>
    <w:r w:rsidR="00260FC6" w:rsidRPr="00260FC6">
      <w:rPr>
        <w:rFonts w:ascii="Arial" w:hAnsi="Arial" w:cs="Arial"/>
        <w:color w:val="000000"/>
        <w:sz w:val="16"/>
        <w:szCs w:val="16"/>
      </w:rPr>
      <w:t>5854</w:t>
    </w:r>
    <w:r w:rsidRPr="0003657B">
      <w:rPr>
        <w:rFonts w:ascii="Arial" w:hAnsi="Arial" w:cs="Arial"/>
        <w:color w:val="000000"/>
        <w:sz w:val="16"/>
        <w:szCs w:val="16"/>
      </w:rPr>
      <w:t xml:space="preserve">  •  </w:t>
    </w:r>
    <w:r w:rsidRPr="0003657B">
      <w:rPr>
        <w:rFonts w:ascii="Arial" w:hAnsi="Arial" w:cs="Arial"/>
        <w:color w:val="000000"/>
        <w:sz w:val="13"/>
        <w:szCs w:val="16"/>
      </w:rPr>
      <w:t xml:space="preserve">FAX: </w:t>
    </w:r>
    <w:r w:rsidR="00260FC6" w:rsidRPr="00260FC6">
      <w:rPr>
        <w:rFonts w:ascii="Arial" w:hAnsi="Arial" w:cs="Arial"/>
        <w:color w:val="000000"/>
        <w:sz w:val="16"/>
        <w:szCs w:val="16"/>
      </w:rPr>
      <w:t>919</w:t>
    </w:r>
    <w:r w:rsidRPr="00260FC6">
      <w:rPr>
        <w:rFonts w:ascii="Arial" w:hAnsi="Arial" w:cs="Arial"/>
        <w:color w:val="000000"/>
        <w:sz w:val="16"/>
        <w:szCs w:val="16"/>
      </w:rPr>
      <w:t>-</w:t>
    </w:r>
    <w:r w:rsidR="00260FC6" w:rsidRPr="00260FC6">
      <w:rPr>
        <w:rFonts w:ascii="Arial" w:hAnsi="Arial" w:cs="Arial"/>
        <w:color w:val="000000"/>
        <w:sz w:val="16"/>
        <w:szCs w:val="16"/>
      </w:rPr>
      <w:t>845-3972</w:t>
    </w:r>
  </w:p>
  <w:p w14:paraId="42CE50F5" w14:textId="77777777" w:rsidR="00783262" w:rsidRPr="0003657B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  <w:color w:val="000000"/>
      </w:rPr>
    </w:pPr>
    <w:r w:rsidRPr="0003657B">
      <w:rPr>
        <w:rFonts w:ascii="Arial" w:hAnsi="Arial" w:cs="Arial"/>
        <w:color w:val="000000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6FB39" w14:textId="77777777" w:rsidR="009B6EDC" w:rsidRDefault="009B6EDC" w:rsidP="00A32A4C">
      <w:r>
        <w:separator/>
      </w:r>
    </w:p>
  </w:footnote>
  <w:footnote w:type="continuationSeparator" w:id="0">
    <w:p w14:paraId="07B51A97" w14:textId="77777777" w:rsidR="009B6EDC" w:rsidRDefault="009B6EDC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AA4B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13DEE" w14:paraId="207DCB3B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2CE6775C" w14:textId="77777777" w:rsidR="00680B31" w:rsidRPr="00313DEE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13DEE" w14:paraId="37795957" w14:textId="77777777" w:rsidTr="00111FF7">
      <w:trPr>
        <w:trHeight w:val="1116"/>
        <w:jc w:val="center"/>
      </w:trPr>
      <w:tc>
        <w:tcPr>
          <w:tcW w:w="4590" w:type="dxa"/>
          <w:tcBorders>
            <w:right w:val="single" w:sz="18" w:space="0" w:color="000000"/>
          </w:tcBorders>
          <w:shd w:val="clear" w:color="auto" w:fill="auto"/>
        </w:tcPr>
        <w:p w14:paraId="14EA62DD" w14:textId="307119A4" w:rsidR="00676B54" w:rsidRPr="00313DEE" w:rsidRDefault="004E259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16A20F76" wp14:editId="00469FE7">
                <wp:extent cx="2600325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000000"/>
          </w:tcBorders>
          <w:shd w:val="clear" w:color="auto" w:fill="auto"/>
          <w:vAlign w:val="center"/>
        </w:tcPr>
        <w:p w14:paraId="7EDF763F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5DC85768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ROY </w:t>
          </w:r>
          <w:proofErr w:type="gramStart"/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COOPER</w:t>
          </w:r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Governor</w:t>
          </w:r>
        </w:p>
        <w:p w14:paraId="69CE08D2" w14:textId="77777777" w:rsidR="00676B54" w:rsidRPr="00313DEE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MANDY COHEN, MD, </w:t>
          </w:r>
          <w:proofErr w:type="gramStart"/>
          <w:r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MPH</w:t>
          </w:r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•</w:t>
          </w:r>
          <w:proofErr w:type="gramEnd"/>
          <w:r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 Secretary</w:t>
          </w:r>
        </w:p>
        <w:p w14:paraId="09AC6C95" w14:textId="77777777" w:rsidR="0086081B" w:rsidRDefault="0086081B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BETH LOVETTE, MPH, BSN, </w:t>
          </w:r>
          <w:proofErr w:type="gramStart"/>
          <w:r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RN</w:t>
          </w:r>
          <w:r w:rsidR="00676B54" w:rsidRPr="00313DE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 xml:space="preserve"> </w:t>
          </w:r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•</w:t>
          </w:r>
          <w:proofErr w:type="gramEnd"/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0000"/>
              <w:sz w:val="18"/>
              <w:szCs w:val="18"/>
            </w:rPr>
            <w:t>Acting</w:t>
          </w:r>
          <w:r w:rsidR="00676B54" w:rsidRPr="00313DEE"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  <w:r w:rsidR="00FD2EFA">
            <w:rPr>
              <w:rFonts w:ascii="Arial" w:hAnsi="Arial" w:cs="Arial"/>
              <w:color w:val="000000"/>
              <w:sz w:val="18"/>
              <w:szCs w:val="18"/>
            </w:rPr>
            <w:t>Director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</w:t>
          </w:r>
        </w:p>
        <w:p w14:paraId="20354A8A" w14:textId="4E82C42A" w:rsidR="00676B54" w:rsidRPr="00313DEE" w:rsidRDefault="005A393F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Division of Public Health</w:t>
          </w:r>
        </w:p>
      </w:tc>
    </w:tr>
  </w:tbl>
  <w:p w14:paraId="456523D7" w14:textId="77777777" w:rsidR="00680B31" w:rsidRPr="00313DEE" w:rsidRDefault="00680B31" w:rsidP="00680B31">
    <w:pPr>
      <w:pStyle w:val="Header"/>
      <w:rPr>
        <w:rFonts w:ascii="Arial" w:hAnsi="Arial" w:cs="Arial"/>
      </w:rPr>
    </w:pPr>
  </w:p>
  <w:p w14:paraId="541CC2A6" w14:textId="77777777" w:rsidR="00CA1E69" w:rsidRPr="00313DEE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519A"/>
    <w:multiLevelType w:val="hybridMultilevel"/>
    <w:tmpl w:val="8C647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EAA"/>
    <w:multiLevelType w:val="hybridMultilevel"/>
    <w:tmpl w:val="A676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D1F28"/>
    <w:multiLevelType w:val="hybridMultilevel"/>
    <w:tmpl w:val="B2F4C4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82349"/>
    <w:multiLevelType w:val="hybridMultilevel"/>
    <w:tmpl w:val="B66A6F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564B"/>
    <w:multiLevelType w:val="hybridMultilevel"/>
    <w:tmpl w:val="A8706D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01D8E"/>
    <w:rsid w:val="000108D2"/>
    <w:rsid w:val="000132C8"/>
    <w:rsid w:val="00013F9D"/>
    <w:rsid w:val="00015BE2"/>
    <w:rsid w:val="0003657B"/>
    <w:rsid w:val="000417EE"/>
    <w:rsid w:val="00042993"/>
    <w:rsid w:val="000440CE"/>
    <w:rsid w:val="00083773"/>
    <w:rsid w:val="00091250"/>
    <w:rsid w:val="000C0F5D"/>
    <w:rsid w:val="000D204F"/>
    <w:rsid w:val="000E31CF"/>
    <w:rsid w:val="000E7107"/>
    <w:rsid w:val="00111FF7"/>
    <w:rsid w:val="001155D0"/>
    <w:rsid w:val="00127772"/>
    <w:rsid w:val="001453CF"/>
    <w:rsid w:val="0015365F"/>
    <w:rsid w:val="00174FDB"/>
    <w:rsid w:val="001921C1"/>
    <w:rsid w:val="00197165"/>
    <w:rsid w:val="001A5627"/>
    <w:rsid w:val="001B06B1"/>
    <w:rsid w:val="001B4207"/>
    <w:rsid w:val="001C4902"/>
    <w:rsid w:val="001F13AD"/>
    <w:rsid w:val="00201232"/>
    <w:rsid w:val="002261C3"/>
    <w:rsid w:val="0023013C"/>
    <w:rsid w:val="00251D4A"/>
    <w:rsid w:val="00260FC6"/>
    <w:rsid w:val="00261749"/>
    <w:rsid w:val="00274B46"/>
    <w:rsid w:val="00280A9F"/>
    <w:rsid w:val="00292C38"/>
    <w:rsid w:val="002944DD"/>
    <w:rsid w:val="00295ABA"/>
    <w:rsid w:val="002B48EA"/>
    <w:rsid w:val="002B6B3D"/>
    <w:rsid w:val="002E5B24"/>
    <w:rsid w:val="002E639B"/>
    <w:rsid w:val="0031053F"/>
    <w:rsid w:val="00313DEE"/>
    <w:rsid w:val="00321992"/>
    <w:rsid w:val="00322295"/>
    <w:rsid w:val="00333A2A"/>
    <w:rsid w:val="00363F58"/>
    <w:rsid w:val="003B2A34"/>
    <w:rsid w:val="003B7E67"/>
    <w:rsid w:val="003D4481"/>
    <w:rsid w:val="003D635A"/>
    <w:rsid w:val="003F1133"/>
    <w:rsid w:val="00411AA0"/>
    <w:rsid w:val="00412E9F"/>
    <w:rsid w:val="00417CBB"/>
    <w:rsid w:val="00427A37"/>
    <w:rsid w:val="004318E0"/>
    <w:rsid w:val="00450150"/>
    <w:rsid w:val="004553A7"/>
    <w:rsid w:val="00464A34"/>
    <w:rsid w:val="004C4562"/>
    <w:rsid w:val="004C5B0B"/>
    <w:rsid w:val="004C723E"/>
    <w:rsid w:val="004D1252"/>
    <w:rsid w:val="004D3DB1"/>
    <w:rsid w:val="004D544E"/>
    <w:rsid w:val="004E2591"/>
    <w:rsid w:val="004F1FC0"/>
    <w:rsid w:val="00500FAF"/>
    <w:rsid w:val="00550716"/>
    <w:rsid w:val="005525AE"/>
    <w:rsid w:val="00552B3C"/>
    <w:rsid w:val="00555212"/>
    <w:rsid w:val="00562A45"/>
    <w:rsid w:val="00565FD5"/>
    <w:rsid w:val="005A393F"/>
    <w:rsid w:val="005A697E"/>
    <w:rsid w:val="005C72B7"/>
    <w:rsid w:val="005C7312"/>
    <w:rsid w:val="005E0C15"/>
    <w:rsid w:val="005E17B8"/>
    <w:rsid w:val="0060445F"/>
    <w:rsid w:val="006063CD"/>
    <w:rsid w:val="00631F9E"/>
    <w:rsid w:val="00645939"/>
    <w:rsid w:val="00650725"/>
    <w:rsid w:val="00672447"/>
    <w:rsid w:val="00676B54"/>
    <w:rsid w:val="00680B31"/>
    <w:rsid w:val="00690D63"/>
    <w:rsid w:val="00692998"/>
    <w:rsid w:val="006D6FA0"/>
    <w:rsid w:val="006F351C"/>
    <w:rsid w:val="006F7BAE"/>
    <w:rsid w:val="00702DED"/>
    <w:rsid w:val="00746A1F"/>
    <w:rsid w:val="00746C47"/>
    <w:rsid w:val="00761A6C"/>
    <w:rsid w:val="0076577F"/>
    <w:rsid w:val="007716D8"/>
    <w:rsid w:val="00773576"/>
    <w:rsid w:val="00783262"/>
    <w:rsid w:val="00796BED"/>
    <w:rsid w:val="007A78EA"/>
    <w:rsid w:val="007C1C23"/>
    <w:rsid w:val="007D4756"/>
    <w:rsid w:val="007F753F"/>
    <w:rsid w:val="00812F0C"/>
    <w:rsid w:val="00825251"/>
    <w:rsid w:val="00837A34"/>
    <w:rsid w:val="00847483"/>
    <w:rsid w:val="0086081B"/>
    <w:rsid w:val="00861A21"/>
    <w:rsid w:val="008661B6"/>
    <w:rsid w:val="0087062E"/>
    <w:rsid w:val="008A1E87"/>
    <w:rsid w:val="008A38D9"/>
    <w:rsid w:val="008A4EAA"/>
    <w:rsid w:val="008A6744"/>
    <w:rsid w:val="008C61BF"/>
    <w:rsid w:val="008E3C5F"/>
    <w:rsid w:val="00914B72"/>
    <w:rsid w:val="009430FA"/>
    <w:rsid w:val="00952D1E"/>
    <w:rsid w:val="009629C2"/>
    <w:rsid w:val="009745EA"/>
    <w:rsid w:val="00974D9A"/>
    <w:rsid w:val="009A04F0"/>
    <w:rsid w:val="009B15FF"/>
    <w:rsid w:val="009B6EDC"/>
    <w:rsid w:val="009D21E9"/>
    <w:rsid w:val="009D3BAC"/>
    <w:rsid w:val="009D6D9B"/>
    <w:rsid w:val="009F174B"/>
    <w:rsid w:val="009F1D5E"/>
    <w:rsid w:val="00A00FEC"/>
    <w:rsid w:val="00A07830"/>
    <w:rsid w:val="00A20AE3"/>
    <w:rsid w:val="00A3004D"/>
    <w:rsid w:val="00A32A4C"/>
    <w:rsid w:val="00A332CC"/>
    <w:rsid w:val="00A34615"/>
    <w:rsid w:val="00A46859"/>
    <w:rsid w:val="00A47359"/>
    <w:rsid w:val="00A478C4"/>
    <w:rsid w:val="00A663BD"/>
    <w:rsid w:val="00A70BD9"/>
    <w:rsid w:val="00A82F20"/>
    <w:rsid w:val="00A96B57"/>
    <w:rsid w:val="00AA3F57"/>
    <w:rsid w:val="00AC63CE"/>
    <w:rsid w:val="00AC6A68"/>
    <w:rsid w:val="00AD1209"/>
    <w:rsid w:val="00AF3AE1"/>
    <w:rsid w:val="00AF5EE7"/>
    <w:rsid w:val="00B06B28"/>
    <w:rsid w:val="00B12C50"/>
    <w:rsid w:val="00B54912"/>
    <w:rsid w:val="00B85442"/>
    <w:rsid w:val="00B85C32"/>
    <w:rsid w:val="00BA14C1"/>
    <w:rsid w:val="00BA5F93"/>
    <w:rsid w:val="00BB5D91"/>
    <w:rsid w:val="00BC0B34"/>
    <w:rsid w:val="00BE0938"/>
    <w:rsid w:val="00BE6742"/>
    <w:rsid w:val="00BE7729"/>
    <w:rsid w:val="00BF47AF"/>
    <w:rsid w:val="00BF567B"/>
    <w:rsid w:val="00BF56E5"/>
    <w:rsid w:val="00C30A39"/>
    <w:rsid w:val="00C34CC3"/>
    <w:rsid w:val="00C4317E"/>
    <w:rsid w:val="00C91BF7"/>
    <w:rsid w:val="00CA1E69"/>
    <w:rsid w:val="00CA5A45"/>
    <w:rsid w:val="00CB13C1"/>
    <w:rsid w:val="00CC3075"/>
    <w:rsid w:val="00CD2D67"/>
    <w:rsid w:val="00CD7BD6"/>
    <w:rsid w:val="00CF1CE4"/>
    <w:rsid w:val="00CF6773"/>
    <w:rsid w:val="00D10915"/>
    <w:rsid w:val="00D27C69"/>
    <w:rsid w:val="00D56058"/>
    <w:rsid w:val="00D620A3"/>
    <w:rsid w:val="00D642E1"/>
    <w:rsid w:val="00DB2F6C"/>
    <w:rsid w:val="00DC3B0A"/>
    <w:rsid w:val="00DD08A2"/>
    <w:rsid w:val="00DE559A"/>
    <w:rsid w:val="00DE6B79"/>
    <w:rsid w:val="00E14957"/>
    <w:rsid w:val="00E21F3C"/>
    <w:rsid w:val="00E34053"/>
    <w:rsid w:val="00E4503A"/>
    <w:rsid w:val="00E53A6E"/>
    <w:rsid w:val="00E5635F"/>
    <w:rsid w:val="00E630C8"/>
    <w:rsid w:val="00E70B01"/>
    <w:rsid w:val="00E76EC2"/>
    <w:rsid w:val="00E87E90"/>
    <w:rsid w:val="00E93E4F"/>
    <w:rsid w:val="00EA3D45"/>
    <w:rsid w:val="00EB0019"/>
    <w:rsid w:val="00ED6F30"/>
    <w:rsid w:val="00EE3EDB"/>
    <w:rsid w:val="00EE7E3D"/>
    <w:rsid w:val="00F04262"/>
    <w:rsid w:val="00F10515"/>
    <w:rsid w:val="00F12DB3"/>
    <w:rsid w:val="00F44EC7"/>
    <w:rsid w:val="00F877A6"/>
    <w:rsid w:val="00F9733F"/>
    <w:rsid w:val="00F97494"/>
    <w:rsid w:val="00FB1337"/>
    <w:rsid w:val="00FB39F6"/>
    <w:rsid w:val="00FB666B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23C3F"/>
  <w14:defaultImageDpi w14:val="32767"/>
  <w15:docId w15:val="{5DF6E909-0892-4FD7-A651-B3B426C7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21E9"/>
    <w:pPr>
      <w:ind w:left="720"/>
      <w:contextualSpacing/>
    </w:pPr>
  </w:style>
  <w:style w:type="character" w:customStyle="1" w:styleId="aSectionChar">
    <w:name w:val="aSection Char"/>
    <w:basedOn w:val="DefaultParagraphFont"/>
    <w:link w:val="aSection"/>
    <w:rsid w:val="00796BED"/>
    <w:rPr>
      <w:rFonts w:ascii="Times New Roman" w:hAnsi="Times New Roman"/>
      <w:b/>
      <w:bCs/>
    </w:rPr>
  </w:style>
  <w:style w:type="paragraph" w:customStyle="1" w:styleId="aSection">
    <w:name w:val="aSection"/>
    <w:basedOn w:val="Normal"/>
    <w:link w:val="aSectionChar"/>
    <w:rsid w:val="00796BED"/>
    <w:pPr>
      <w:ind w:left="1080" w:hanging="1080"/>
      <w:jc w:val="both"/>
    </w:pPr>
    <w:rPr>
      <w:rFonts w:ascii="Times New Roman" w:hAnsi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D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s.ncpublichealth.com/docs/rules/294306-26-2600.pdf" TargetMode="External"/><Relationship Id="rId13" Type="http://schemas.openxmlformats.org/officeDocument/2006/relationships/hyperlink" Target="https://www.fda.gov/downloads/Food/GuidanceRegulation/UCM252424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da.gov/downloads/Food/ScienceResearch/ResearchAreas/RiskAssessment%20SafetyAssessment/UCM19732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protect.org/media/guide/Emergency%20Action%20Plan%20for%20Retail%20food%20Es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da.gov/downloads/food/guidanceregulation/ucm252416.pdf" TargetMode="External"/><Relationship Id="rId10" Type="http://schemas.openxmlformats.org/officeDocument/2006/relationships/hyperlink" Target="https://www.ncleg.net/enactedlegislation/statutes/html/bychapter/chapter_130a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ehs.ncpublichealth.com/faf/docs/foodprot/NC-FoodCodeManual-2009-FINAL.pdf" TargetMode="External"/><Relationship Id="rId14" Type="http://schemas.openxmlformats.org/officeDocument/2006/relationships/hyperlink" Target="https://www.fda.gov/downloads/food/guidanceregulation/ucm252400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D27A814-35AA-4EBA-9380-A0B21B19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smith, shane</cp:lastModifiedBy>
  <cp:revision>2</cp:revision>
  <cp:lastPrinted>2017-12-14T20:08:00Z</cp:lastPrinted>
  <dcterms:created xsi:type="dcterms:W3CDTF">2018-11-30T23:49:00Z</dcterms:created>
  <dcterms:modified xsi:type="dcterms:W3CDTF">2018-11-30T23:49:00Z</dcterms:modified>
</cp:coreProperties>
</file>